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150" w:line="360" w:lineRule="auto"/>
        <w:jc w:val="center"/>
        <w:rPr>
          <w:rFonts w:ascii="黑体" w:hAnsi="宋体" w:eastAsia="黑体" w:cs="黑体"/>
          <w:b/>
          <w:bCs/>
          <w:color w:val="FF0000"/>
          <w:kern w:val="0"/>
          <w:sz w:val="72"/>
          <w:szCs w:val="72"/>
        </w:rPr>
      </w:pPr>
    </w:p>
    <w:p>
      <w:pPr>
        <w:spacing w:afterLines="150" w:line="360" w:lineRule="auto"/>
        <w:jc w:val="center"/>
        <w:rPr>
          <w:rFonts w:ascii="黑体" w:hAnsi="宋体" w:eastAsia="黑体" w:cs="黑体"/>
          <w:b/>
          <w:bCs/>
          <w:color w:val="0000FF"/>
          <w:kern w:val="0"/>
          <w:sz w:val="44"/>
          <w:szCs w:val="44"/>
        </w:rPr>
      </w:pPr>
      <w:r>
        <w:rPr>
          <w:rFonts w:hint="eastAsia" w:ascii="黑体" w:hAnsi="宋体" w:eastAsia="黑体" w:cs="黑体"/>
          <w:b/>
          <w:bCs/>
          <w:color w:val="0000FF"/>
          <w:kern w:val="0"/>
          <w:sz w:val="72"/>
          <w:szCs w:val="72"/>
        </w:rPr>
        <w:t>闽侯县美术中等职业学校</w:t>
      </w:r>
    </w:p>
    <w:p>
      <w:pPr>
        <w:spacing w:afterLines="150" w:line="360" w:lineRule="auto"/>
        <w:jc w:val="center"/>
        <w:rPr>
          <w:rFonts w:ascii="黑体" w:hAnsi="宋体" w:eastAsia="黑体" w:cs="黑体"/>
          <w:b/>
          <w:bCs/>
          <w:color w:val="0000FF"/>
          <w:kern w:val="0"/>
          <w:sz w:val="72"/>
          <w:szCs w:val="72"/>
        </w:rPr>
      </w:pPr>
      <w:r>
        <w:rPr>
          <w:rFonts w:hint="eastAsia" w:ascii="黑体" w:hAnsi="宋体" w:eastAsia="黑体" w:cs="黑体"/>
          <w:b/>
          <w:bCs/>
          <w:color w:val="0000FF"/>
          <w:kern w:val="0"/>
          <w:sz w:val="72"/>
          <w:szCs w:val="72"/>
        </w:rPr>
        <w:t>教育年度质量报告</w:t>
      </w:r>
    </w:p>
    <w:p>
      <w:pPr>
        <w:jc w:val="center"/>
        <w:rPr>
          <w:rFonts w:ascii="黑体" w:hAnsi="宋体" w:eastAsia="黑体" w:cs="黑体"/>
          <w:b/>
          <w:bCs/>
          <w:color w:val="FF0000"/>
          <w:kern w:val="0"/>
          <w:sz w:val="72"/>
          <w:szCs w:val="72"/>
        </w:rPr>
      </w:pPr>
      <w:r>
        <w:rPr>
          <w:rFonts w:hint="eastAsia" w:ascii="黑体" w:hAnsi="宋体" w:eastAsia="黑体" w:cs="黑体"/>
          <w:b/>
          <w:bCs/>
          <w:color w:val="0000FF"/>
          <w:kern w:val="0"/>
          <w:sz w:val="72"/>
          <w:szCs w:val="72"/>
        </w:rPr>
        <w:t>（</w:t>
      </w:r>
      <w:r>
        <w:rPr>
          <w:rFonts w:ascii="黑体" w:hAnsi="宋体" w:eastAsia="黑体" w:cs="黑体"/>
          <w:b/>
          <w:bCs/>
          <w:color w:val="0000FF"/>
          <w:kern w:val="0"/>
          <w:sz w:val="72"/>
          <w:szCs w:val="72"/>
        </w:rPr>
        <w:t>2020</w:t>
      </w:r>
      <w:r>
        <w:rPr>
          <w:rFonts w:hint="eastAsia" w:ascii="黑体" w:hAnsi="宋体" w:eastAsia="黑体" w:cs="黑体"/>
          <w:b/>
          <w:bCs/>
          <w:color w:val="0000FF"/>
          <w:kern w:val="0"/>
          <w:sz w:val="72"/>
          <w:szCs w:val="72"/>
        </w:rPr>
        <w:t>年）</w:t>
      </w:r>
    </w:p>
    <w:p>
      <w:pPr>
        <w:jc w:val="center"/>
        <w:rPr>
          <w:rFonts w:ascii="黑体" w:hAnsi="宋体" w:eastAsia="黑体" w:cs="黑体"/>
          <w:b/>
          <w:bCs/>
          <w:color w:val="FF0000"/>
          <w:kern w:val="0"/>
          <w:sz w:val="72"/>
          <w:szCs w:val="72"/>
        </w:rPr>
      </w:pPr>
    </w:p>
    <w:p>
      <w:pPr>
        <w:jc w:val="center"/>
        <w:rPr>
          <w:rFonts w:ascii="黑体" w:hAnsi="宋体" w:eastAsia="黑体" w:cs="黑体"/>
          <w:b/>
          <w:bCs/>
          <w:color w:val="FF0000"/>
          <w:kern w:val="0"/>
          <w:sz w:val="72"/>
          <w:szCs w:val="72"/>
        </w:rPr>
      </w:pPr>
      <w:r>
        <w:drawing>
          <wp:anchor distT="0" distB="0" distL="114300" distR="114300" simplePos="0" relativeHeight="503315456" behindDoc="1" locked="0" layoutInCell="1" allowOverlap="1">
            <wp:simplePos x="0" y="0"/>
            <wp:positionH relativeFrom="column">
              <wp:posOffset>1970405</wp:posOffset>
            </wp:positionH>
            <wp:positionV relativeFrom="paragraph">
              <wp:posOffset>116205</wp:posOffset>
            </wp:positionV>
            <wp:extent cx="1356360" cy="1373505"/>
            <wp:effectExtent l="0" t="0" r="2540" b="10795"/>
            <wp:wrapThrough wrapText="bothSides">
              <wp:wrapPolygon>
                <wp:start x="8975" y="0"/>
                <wp:lineTo x="7454" y="300"/>
                <wp:lineTo x="3651" y="1950"/>
                <wp:lineTo x="3194" y="2850"/>
                <wp:lineTo x="1369" y="4800"/>
                <wp:lineTo x="152" y="7200"/>
                <wp:lineTo x="-152" y="8550"/>
                <wp:lineTo x="-152" y="12450"/>
                <wp:lineTo x="152" y="14400"/>
                <wp:lineTo x="1369" y="16800"/>
                <wp:lineTo x="3651" y="19500"/>
                <wp:lineTo x="7758" y="21450"/>
                <wp:lineTo x="8518" y="21450"/>
                <wp:lineTo x="13082" y="21450"/>
                <wp:lineTo x="13842" y="21450"/>
                <wp:lineTo x="17949" y="19500"/>
                <wp:lineTo x="20231" y="16800"/>
                <wp:lineTo x="21448" y="14400"/>
                <wp:lineTo x="21600" y="12900"/>
                <wp:lineTo x="21600" y="7800"/>
                <wp:lineTo x="21448" y="7200"/>
                <wp:lineTo x="20231" y="4800"/>
                <wp:lineTo x="18254" y="2100"/>
                <wp:lineTo x="14603" y="450"/>
                <wp:lineTo x="12777" y="0"/>
                <wp:lineTo x="8975" y="0"/>
              </wp:wrapPolygon>
            </wp:wrapThrough>
            <wp:docPr id="1" name="图片 15" descr="微信图片_2020010516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微信图片_20200105160414"/>
                    <pic:cNvPicPr>
                      <a:picLocks noChangeAspect="1"/>
                    </pic:cNvPicPr>
                  </pic:nvPicPr>
                  <pic:blipFill>
                    <a:blip r:embed="rId10"/>
                    <a:stretch>
                      <a:fillRect/>
                    </a:stretch>
                  </pic:blipFill>
                  <pic:spPr>
                    <a:xfrm>
                      <a:off x="0" y="0"/>
                      <a:ext cx="1356360" cy="1373505"/>
                    </a:xfrm>
                    <a:prstGeom prst="rect">
                      <a:avLst/>
                    </a:prstGeom>
                    <a:noFill/>
                    <a:ln>
                      <a:noFill/>
                    </a:ln>
                  </pic:spPr>
                </pic:pic>
              </a:graphicData>
            </a:graphic>
          </wp:anchor>
        </w:drawing>
      </w:r>
    </w:p>
    <w:p>
      <w:pPr>
        <w:rPr>
          <w:b/>
          <w:color w:val="FF0000"/>
          <w:sz w:val="32"/>
          <w:szCs w:val="32"/>
        </w:rPr>
      </w:pPr>
    </w:p>
    <w:p>
      <w:pPr>
        <w:rPr>
          <w:b/>
          <w:color w:val="FF0000"/>
          <w:sz w:val="32"/>
          <w:szCs w:val="32"/>
        </w:rPr>
      </w:pPr>
    </w:p>
    <w:p>
      <w:pPr>
        <w:jc w:val="center"/>
        <w:rPr>
          <w:b/>
          <w:color w:val="FF0000"/>
          <w:sz w:val="32"/>
          <w:szCs w:val="32"/>
        </w:rPr>
      </w:pPr>
      <w:r>
        <w:drawing>
          <wp:anchor distT="0" distB="0" distL="114300" distR="114300" simplePos="0" relativeHeight="503315456" behindDoc="1" locked="0" layoutInCell="1" allowOverlap="1">
            <wp:simplePos x="0" y="0"/>
            <wp:positionH relativeFrom="column">
              <wp:posOffset>2037080</wp:posOffset>
            </wp:positionH>
            <wp:positionV relativeFrom="paragraph">
              <wp:posOffset>354965</wp:posOffset>
            </wp:positionV>
            <wp:extent cx="1219200" cy="1219200"/>
            <wp:effectExtent l="0" t="0" r="0" b="0"/>
            <wp:wrapNone/>
            <wp:docPr id="2" name="图片 16" descr="微信图片_2020010516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微信图片_20200105160418"/>
                    <pic:cNvPicPr>
                      <a:picLocks noChangeAspect="1"/>
                    </pic:cNvPicPr>
                  </pic:nvPicPr>
                  <pic:blipFill>
                    <a:blip r:embed="rId11"/>
                    <a:stretch>
                      <a:fillRect/>
                    </a:stretch>
                  </pic:blipFill>
                  <pic:spPr>
                    <a:xfrm>
                      <a:off x="0" y="0"/>
                      <a:ext cx="1219200" cy="1219200"/>
                    </a:xfrm>
                    <a:prstGeom prst="rect">
                      <a:avLst/>
                    </a:prstGeom>
                    <a:noFill/>
                    <a:ln>
                      <a:noFill/>
                    </a:ln>
                  </pic:spPr>
                </pic:pic>
              </a:graphicData>
            </a:graphic>
          </wp:anchor>
        </w:drawing>
      </w:r>
    </w:p>
    <w:p>
      <w:pPr>
        <w:rPr>
          <w:b/>
          <w:color w:val="FF0000"/>
          <w:sz w:val="32"/>
          <w:szCs w:val="32"/>
        </w:rPr>
      </w:pPr>
    </w:p>
    <w:p>
      <w:pPr>
        <w:rPr>
          <w:b/>
          <w:color w:val="FF0000"/>
          <w:sz w:val="32"/>
          <w:szCs w:val="32"/>
        </w:rPr>
      </w:pPr>
    </w:p>
    <w:p>
      <w:pPr>
        <w:ind w:firstLine="4294" w:firstLineChars="891"/>
        <w:rPr>
          <w:rFonts w:ascii="黑体" w:hAnsi="黑体" w:eastAsia="黑体"/>
          <w:b/>
          <w:color w:val="FF0000"/>
          <w:sz w:val="48"/>
          <w:szCs w:val="48"/>
        </w:rPr>
      </w:pPr>
    </w:p>
    <w:p>
      <w:pPr>
        <w:ind w:firstLine="4294" w:firstLineChars="891"/>
        <w:rPr>
          <w:rFonts w:ascii="黑体" w:hAnsi="黑体" w:eastAsia="黑体"/>
          <w:b/>
          <w:color w:val="FF0000"/>
          <w:sz w:val="48"/>
          <w:szCs w:val="48"/>
        </w:rPr>
      </w:pPr>
    </w:p>
    <w:p>
      <w:pPr>
        <w:jc w:val="both"/>
        <w:rPr>
          <w:rFonts w:hint="eastAsia" w:ascii="黑体" w:hAnsi="黑体" w:eastAsia="黑体"/>
          <w:b/>
          <w:color w:val="0000FF"/>
          <w:sz w:val="48"/>
          <w:szCs w:val="48"/>
        </w:rPr>
      </w:pPr>
    </w:p>
    <w:p>
      <w:pPr>
        <w:jc w:val="center"/>
        <w:rPr>
          <w:rFonts w:ascii="黑体" w:hAnsi="黑体" w:eastAsia="黑体"/>
          <w:b/>
          <w:color w:val="0000FF"/>
          <w:sz w:val="48"/>
          <w:szCs w:val="48"/>
        </w:rPr>
        <w:sectPr>
          <w:headerReference r:id="rId3" w:type="default"/>
          <w:footerReference r:id="rId4" w:type="default"/>
          <w:pgSz w:w="11906" w:h="16838"/>
          <w:pgMar w:top="1440" w:right="1800" w:bottom="1440" w:left="1800" w:header="851" w:footer="992" w:gutter="0"/>
          <w:pgNumType w:fmt="decimal" w:start="0"/>
          <w:cols w:space="720" w:num="1"/>
          <w:docGrid w:type="lines" w:linePitch="312" w:charSpace="0"/>
        </w:sectPr>
      </w:pPr>
      <w:bookmarkStart w:id="3" w:name="_GoBack"/>
      <w:r>
        <w:rPr>
          <w:rFonts w:hint="eastAsia" w:ascii="黑体" w:hAnsi="黑体" w:eastAsia="黑体"/>
          <w:b/>
          <w:color w:val="0000FF"/>
          <w:sz w:val="48"/>
          <w:szCs w:val="48"/>
        </w:rPr>
        <w:t>二零二零年十二月</w:t>
      </w:r>
    </w:p>
    <w:bookmarkEnd w:id="3"/>
    <w:p>
      <w:pPr>
        <w:jc w:val="center"/>
        <w:rPr>
          <w:b/>
          <w:sz w:val="32"/>
          <w:szCs w:val="32"/>
        </w:rPr>
      </w:pPr>
      <w:r>
        <w:rPr>
          <w:rFonts w:hint="eastAsia"/>
          <w:b/>
          <w:sz w:val="32"/>
          <w:szCs w:val="32"/>
        </w:rPr>
        <w:t>目录</w:t>
      </w:r>
    </w:p>
    <w:p>
      <w:pPr>
        <w:adjustRightInd w:val="0"/>
        <w:snapToGrid w:val="0"/>
        <w:spacing w:line="360" w:lineRule="auto"/>
        <w:jc w:val="distribute"/>
        <w:rPr>
          <w:b/>
          <w:sz w:val="24"/>
          <w:szCs w:val="24"/>
        </w:rPr>
      </w:pPr>
      <w:r>
        <w:rPr>
          <w:rFonts w:ascii="宋体" w:hAnsi="宋体"/>
          <w:b/>
          <w:sz w:val="24"/>
          <w:szCs w:val="24"/>
        </w:rPr>
        <w:t>1.</w:t>
      </w:r>
      <w:r>
        <w:rPr>
          <w:rFonts w:hint="eastAsia" w:ascii="宋体" w:hAnsi="宋体"/>
          <w:b/>
          <w:sz w:val="24"/>
          <w:szCs w:val="24"/>
        </w:rPr>
        <w:t>学校情况</w:t>
      </w:r>
      <w:r>
        <w:rPr>
          <w:b/>
          <w:sz w:val="24"/>
          <w:szCs w:val="24"/>
        </w:rPr>
        <w:t>…………………………………..………………………………………1</w:t>
      </w:r>
    </w:p>
    <w:p>
      <w:pPr>
        <w:adjustRightInd w:val="0"/>
        <w:snapToGrid w:val="0"/>
        <w:spacing w:line="360" w:lineRule="auto"/>
        <w:ind w:firstLine="283" w:firstLineChars="118"/>
        <w:jc w:val="distribute"/>
        <w:rPr>
          <w:sz w:val="24"/>
          <w:szCs w:val="24"/>
        </w:rPr>
      </w:pPr>
      <w:r>
        <w:rPr>
          <w:sz w:val="24"/>
          <w:szCs w:val="24"/>
        </w:rPr>
        <w:t>1.1</w:t>
      </w:r>
      <w:r>
        <w:rPr>
          <w:rFonts w:hint="eastAsia"/>
          <w:sz w:val="24"/>
          <w:szCs w:val="24"/>
        </w:rPr>
        <w:t>学校概况</w:t>
      </w:r>
      <w:r>
        <w:rPr>
          <w:sz w:val="24"/>
          <w:szCs w:val="24"/>
        </w:rPr>
        <w:t>……………………………………………………………….. ……1</w:t>
      </w:r>
    </w:p>
    <w:p>
      <w:pPr>
        <w:adjustRightInd w:val="0"/>
        <w:snapToGrid w:val="0"/>
        <w:spacing w:line="360" w:lineRule="auto"/>
        <w:ind w:firstLine="283" w:firstLineChars="118"/>
        <w:jc w:val="distribute"/>
        <w:rPr>
          <w:sz w:val="24"/>
          <w:szCs w:val="24"/>
        </w:rPr>
      </w:pPr>
      <w:r>
        <w:rPr>
          <w:sz w:val="24"/>
          <w:szCs w:val="24"/>
        </w:rPr>
        <w:t>1.2</w:t>
      </w:r>
      <w:r>
        <w:rPr>
          <w:rFonts w:hint="eastAsia"/>
          <w:sz w:val="24"/>
          <w:szCs w:val="24"/>
        </w:rPr>
        <w:t>学生情况</w:t>
      </w:r>
      <w:r>
        <w:rPr>
          <w:sz w:val="24"/>
          <w:szCs w:val="24"/>
        </w:rPr>
        <w:t>…………………………………………………………….. ………1</w:t>
      </w:r>
    </w:p>
    <w:p>
      <w:pPr>
        <w:adjustRightInd w:val="0"/>
        <w:snapToGrid w:val="0"/>
        <w:spacing w:line="360" w:lineRule="auto"/>
        <w:ind w:firstLine="283" w:firstLineChars="118"/>
        <w:jc w:val="distribute"/>
        <w:rPr>
          <w:sz w:val="24"/>
          <w:szCs w:val="24"/>
        </w:rPr>
      </w:pPr>
      <w:r>
        <w:rPr>
          <w:sz w:val="24"/>
          <w:szCs w:val="24"/>
        </w:rPr>
        <w:t>1.3</w:t>
      </w:r>
      <w:r>
        <w:rPr>
          <w:rFonts w:hint="eastAsia"/>
          <w:sz w:val="24"/>
          <w:szCs w:val="24"/>
        </w:rPr>
        <w:t>教师队伍</w:t>
      </w:r>
      <w:r>
        <w:rPr>
          <w:sz w:val="24"/>
          <w:szCs w:val="24"/>
        </w:rPr>
        <w:t>…………………………………………………………….. ………2</w:t>
      </w:r>
    </w:p>
    <w:p>
      <w:pPr>
        <w:adjustRightInd w:val="0"/>
        <w:snapToGrid w:val="0"/>
        <w:spacing w:line="360" w:lineRule="auto"/>
        <w:ind w:firstLine="283" w:firstLineChars="118"/>
        <w:jc w:val="distribute"/>
        <w:rPr>
          <w:sz w:val="24"/>
          <w:szCs w:val="24"/>
        </w:rPr>
      </w:pPr>
      <w:r>
        <w:rPr>
          <w:sz w:val="24"/>
          <w:szCs w:val="24"/>
        </w:rPr>
        <w:t>1.4</w:t>
      </w:r>
      <w:r>
        <w:rPr>
          <w:rFonts w:hint="eastAsia"/>
          <w:sz w:val="24"/>
          <w:szCs w:val="24"/>
        </w:rPr>
        <w:t>设施设备</w:t>
      </w:r>
      <w:r>
        <w:rPr>
          <w:sz w:val="24"/>
          <w:szCs w:val="24"/>
        </w:rPr>
        <w:t>…………………………………………………………….. ………3</w:t>
      </w:r>
    </w:p>
    <w:p>
      <w:pPr>
        <w:adjustRightInd w:val="0"/>
        <w:snapToGrid w:val="0"/>
        <w:spacing w:line="360" w:lineRule="auto"/>
        <w:jc w:val="distribute"/>
        <w:rPr>
          <w:b/>
          <w:sz w:val="24"/>
          <w:szCs w:val="24"/>
        </w:rPr>
      </w:pPr>
      <w:r>
        <w:rPr>
          <w:rFonts w:ascii="宋体" w:hAnsi="宋体"/>
          <w:b/>
          <w:sz w:val="24"/>
          <w:szCs w:val="24"/>
        </w:rPr>
        <w:t>2.</w:t>
      </w:r>
      <w:r>
        <w:rPr>
          <w:rFonts w:hint="eastAsia" w:ascii="宋体" w:hAnsi="宋体"/>
          <w:b/>
          <w:sz w:val="24"/>
          <w:szCs w:val="24"/>
        </w:rPr>
        <w:t>学生发展</w:t>
      </w:r>
      <w:r>
        <w:rPr>
          <w:b/>
          <w:sz w:val="24"/>
          <w:szCs w:val="24"/>
        </w:rPr>
        <w:t>………………………………………………………………………….. 3</w:t>
      </w:r>
    </w:p>
    <w:p>
      <w:pPr>
        <w:adjustRightInd w:val="0"/>
        <w:snapToGrid w:val="0"/>
        <w:spacing w:line="360" w:lineRule="auto"/>
        <w:ind w:firstLine="283" w:firstLineChars="118"/>
        <w:jc w:val="distribute"/>
        <w:rPr>
          <w:sz w:val="24"/>
          <w:szCs w:val="24"/>
        </w:rPr>
      </w:pPr>
      <w:r>
        <w:rPr>
          <w:sz w:val="24"/>
          <w:szCs w:val="24"/>
        </w:rPr>
        <w:t>2.1</w:t>
      </w:r>
      <w:r>
        <w:rPr>
          <w:rFonts w:hint="eastAsia"/>
          <w:sz w:val="24"/>
          <w:szCs w:val="24"/>
        </w:rPr>
        <w:t>学生素质</w:t>
      </w:r>
      <w:r>
        <w:rPr>
          <w:sz w:val="24"/>
          <w:szCs w:val="24"/>
        </w:rPr>
        <w:t>…………………………………………………………….. ………3</w:t>
      </w:r>
    </w:p>
    <w:p>
      <w:pPr>
        <w:adjustRightInd w:val="0"/>
        <w:snapToGrid w:val="0"/>
        <w:spacing w:line="360" w:lineRule="auto"/>
        <w:ind w:firstLine="283" w:firstLineChars="118"/>
        <w:jc w:val="distribute"/>
        <w:rPr>
          <w:sz w:val="24"/>
          <w:szCs w:val="24"/>
        </w:rPr>
      </w:pPr>
      <w:r>
        <w:rPr>
          <w:sz w:val="24"/>
          <w:szCs w:val="24"/>
        </w:rPr>
        <w:t>2.2</w:t>
      </w:r>
      <w:r>
        <w:rPr>
          <w:rFonts w:hint="eastAsia"/>
          <w:sz w:val="24"/>
          <w:szCs w:val="24"/>
        </w:rPr>
        <w:t>在校体验</w:t>
      </w:r>
      <w:r>
        <w:rPr>
          <w:sz w:val="24"/>
          <w:szCs w:val="24"/>
        </w:rPr>
        <w:t>…………………………………………………………….. ………4</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2.3</w:t>
      </w:r>
      <w:r>
        <w:rPr>
          <w:rFonts w:hint="eastAsia"/>
          <w:sz w:val="24"/>
          <w:szCs w:val="24"/>
        </w:rPr>
        <w:t>资助情况</w:t>
      </w:r>
      <w:r>
        <w:rPr>
          <w:sz w:val="24"/>
          <w:szCs w:val="24"/>
        </w:rPr>
        <w:t>…………………………………………………………….. ………</w:t>
      </w:r>
      <w:r>
        <w:rPr>
          <w:rFonts w:hint="eastAsia"/>
          <w:sz w:val="24"/>
          <w:szCs w:val="24"/>
          <w:lang w:val="en-US" w:eastAsia="zh-CN"/>
        </w:rPr>
        <w:t>5</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2.4</w:t>
      </w:r>
      <w:r>
        <w:rPr>
          <w:rFonts w:hint="eastAsia"/>
          <w:sz w:val="24"/>
          <w:szCs w:val="24"/>
        </w:rPr>
        <w:t>就业质量</w:t>
      </w:r>
      <w:r>
        <w:rPr>
          <w:sz w:val="24"/>
          <w:szCs w:val="24"/>
        </w:rPr>
        <w:t>…………………………………………………………….. ………</w:t>
      </w:r>
      <w:r>
        <w:rPr>
          <w:rFonts w:hint="eastAsia"/>
          <w:sz w:val="24"/>
          <w:szCs w:val="24"/>
          <w:lang w:val="en-US" w:eastAsia="zh-CN"/>
        </w:rPr>
        <w:t>5</w:t>
      </w:r>
    </w:p>
    <w:p>
      <w:pPr>
        <w:adjustRightInd w:val="0"/>
        <w:snapToGrid w:val="0"/>
        <w:spacing w:line="360" w:lineRule="auto"/>
        <w:ind w:firstLine="283" w:firstLineChars="118"/>
        <w:jc w:val="distribute"/>
        <w:rPr>
          <w:sz w:val="24"/>
          <w:szCs w:val="24"/>
        </w:rPr>
      </w:pPr>
      <w:r>
        <w:rPr>
          <w:sz w:val="24"/>
          <w:szCs w:val="24"/>
        </w:rPr>
        <w:t>2.5</w:t>
      </w:r>
      <w:r>
        <w:rPr>
          <w:rFonts w:hint="eastAsia"/>
          <w:sz w:val="24"/>
          <w:szCs w:val="24"/>
        </w:rPr>
        <w:t>职业发展</w:t>
      </w:r>
      <w:r>
        <w:rPr>
          <w:sz w:val="24"/>
          <w:szCs w:val="24"/>
        </w:rPr>
        <w:t>…………………………………………………………….. ………5</w:t>
      </w:r>
    </w:p>
    <w:p>
      <w:pPr>
        <w:adjustRightInd w:val="0"/>
        <w:snapToGrid w:val="0"/>
        <w:spacing w:line="360" w:lineRule="auto"/>
        <w:jc w:val="distribute"/>
        <w:rPr>
          <w:rFonts w:hint="eastAsia" w:eastAsia="宋体"/>
          <w:b/>
          <w:sz w:val="24"/>
          <w:szCs w:val="24"/>
          <w:lang w:val="en-US" w:eastAsia="zh-CN"/>
        </w:rPr>
      </w:pPr>
      <w:r>
        <w:rPr>
          <w:rFonts w:ascii="宋体" w:hAnsi="宋体"/>
          <w:b/>
          <w:sz w:val="24"/>
          <w:szCs w:val="24"/>
        </w:rPr>
        <w:t>3.</w:t>
      </w:r>
      <w:r>
        <w:rPr>
          <w:rFonts w:hint="eastAsia" w:ascii="宋体" w:hAnsi="宋体"/>
          <w:b/>
          <w:sz w:val="24"/>
          <w:szCs w:val="24"/>
        </w:rPr>
        <w:t>质量保障措施</w:t>
      </w:r>
      <w:r>
        <w:rPr>
          <w:b/>
          <w:sz w:val="24"/>
          <w:szCs w:val="24"/>
        </w:rPr>
        <w:t xml:space="preserve">……………………………….…………………………………… </w:t>
      </w:r>
      <w:r>
        <w:rPr>
          <w:rFonts w:hint="eastAsia"/>
          <w:b/>
          <w:sz w:val="24"/>
          <w:szCs w:val="24"/>
          <w:lang w:val="en-US" w:eastAsia="zh-CN"/>
        </w:rPr>
        <w:t>6</w:t>
      </w:r>
    </w:p>
    <w:p>
      <w:pPr>
        <w:adjustRightInd w:val="0"/>
        <w:snapToGrid w:val="0"/>
        <w:spacing w:line="360" w:lineRule="auto"/>
        <w:ind w:firstLine="283" w:firstLineChars="118"/>
        <w:jc w:val="distribute"/>
        <w:rPr>
          <w:sz w:val="24"/>
          <w:szCs w:val="24"/>
        </w:rPr>
      </w:pPr>
      <w:r>
        <w:rPr>
          <w:sz w:val="24"/>
          <w:szCs w:val="24"/>
        </w:rPr>
        <w:t>3.1</w:t>
      </w:r>
      <w:r>
        <w:rPr>
          <w:rFonts w:hint="eastAsia"/>
          <w:sz w:val="24"/>
          <w:szCs w:val="24"/>
        </w:rPr>
        <w:t>专业动态调整</w:t>
      </w:r>
      <w:r>
        <w:rPr>
          <w:sz w:val="24"/>
          <w:szCs w:val="24"/>
        </w:rPr>
        <w:t>……………………………………………………………. … 6</w:t>
      </w:r>
    </w:p>
    <w:p>
      <w:pPr>
        <w:adjustRightInd w:val="0"/>
        <w:snapToGrid w:val="0"/>
        <w:spacing w:line="360" w:lineRule="auto"/>
        <w:ind w:firstLine="283" w:firstLineChars="118"/>
        <w:jc w:val="distribute"/>
        <w:rPr>
          <w:sz w:val="24"/>
          <w:szCs w:val="24"/>
        </w:rPr>
      </w:pPr>
      <w:r>
        <w:rPr>
          <w:sz w:val="24"/>
          <w:szCs w:val="24"/>
        </w:rPr>
        <w:t xml:space="preserve">3.2 </w:t>
      </w:r>
      <w:r>
        <w:rPr>
          <w:rFonts w:hint="eastAsia"/>
          <w:sz w:val="24"/>
          <w:szCs w:val="24"/>
        </w:rPr>
        <w:t>教育教学改革</w:t>
      </w:r>
      <w:r>
        <w:rPr>
          <w:sz w:val="24"/>
          <w:szCs w:val="24"/>
        </w:rPr>
        <w:t>…………………………………………………………. …  6</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3.3 </w:t>
      </w:r>
      <w:r>
        <w:rPr>
          <w:rFonts w:hint="eastAsia"/>
          <w:sz w:val="24"/>
          <w:szCs w:val="24"/>
        </w:rPr>
        <w:t>教师培养培训</w:t>
      </w:r>
      <w:r>
        <w:rPr>
          <w:sz w:val="24"/>
          <w:szCs w:val="24"/>
        </w:rPr>
        <w:t xml:space="preserve">………………………………………………………….. ….. </w:t>
      </w:r>
      <w:r>
        <w:rPr>
          <w:rFonts w:hint="eastAsia"/>
          <w:sz w:val="24"/>
          <w:szCs w:val="24"/>
          <w:lang w:val="en-US" w:eastAsia="zh-CN"/>
        </w:rPr>
        <w:t>7</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3.4 </w:t>
      </w:r>
      <w:r>
        <w:rPr>
          <w:rFonts w:hint="eastAsia"/>
          <w:sz w:val="24"/>
          <w:szCs w:val="24"/>
        </w:rPr>
        <w:t>规范管理情况</w:t>
      </w:r>
      <w:r>
        <w:rPr>
          <w:sz w:val="24"/>
          <w:szCs w:val="24"/>
        </w:rPr>
        <w:t>………………………………………………………………..</w:t>
      </w:r>
      <w:r>
        <w:rPr>
          <w:rFonts w:hint="eastAsia"/>
          <w:sz w:val="24"/>
          <w:szCs w:val="24"/>
          <w:lang w:val="en-US" w:eastAsia="zh-CN"/>
        </w:rPr>
        <w:t>8</w:t>
      </w:r>
    </w:p>
    <w:p>
      <w:pPr>
        <w:adjustRightInd w:val="0"/>
        <w:snapToGrid w:val="0"/>
        <w:spacing w:line="360" w:lineRule="auto"/>
        <w:ind w:firstLine="283" w:firstLineChars="118"/>
        <w:jc w:val="distribute"/>
        <w:rPr>
          <w:rFonts w:hint="default" w:eastAsia="宋体"/>
          <w:sz w:val="24"/>
          <w:szCs w:val="24"/>
          <w:lang w:val="en-US" w:eastAsia="zh-CN"/>
        </w:rPr>
      </w:pPr>
      <w:r>
        <w:rPr>
          <w:sz w:val="24"/>
          <w:szCs w:val="24"/>
        </w:rPr>
        <w:t xml:space="preserve">3.5 </w:t>
      </w:r>
      <w:r>
        <w:rPr>
          <w:rFonts w:hint="eastAsia"/>
          <w:sz w:val="24"/>
          <w:szCs w:val="24"/>
        </w:rPr>
        <w:t>德育工作情况</w:t>
      </w:r>
      <w:r>
        <w:rPr>
          <w:sz w:val="24"/>
          <w:szCs w:val="24"/>
        </w:rPr>
        <w:t xml:space="preserve">……………………………………………………………..  </w:t>
      </w:r>
      <w:r>
        <w:rPr>
          <w:rFonts w:hint="eastAsia"/>
          <w:sz w:val="24"/>
          <w:szCs w:val="24"/>
          <w:lang w:val="en-US" w:eastAsia="zh-CN"/>
        </w:rPr>
        <w:t>10</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3.6 </w:t>
      </w:r>
      <w:r>
        <w:rPr>
          <w:rFonts w:hint="eastAsia"/>
          <w:sz w:val="24"/>
          <w:szCs w:val="24"/>
        </w:rPr>
        <w:t>党建情况</w:t>
      </w:r>
      <w:r>
        <w:rPr>
          <w:sz w:val="24"/>
          <w:szCs w:val="24"/>
        </w:rPr>
        <w:t>……………………………………………………………..……  1</w:t>
      </w:r>
      <w:r>
        <w:rPr>
          <w:rFonts w:hint="eastAsia"/>
          <w:sz w:val="24"/>
          <w:szCs w:val="24"/>
          <w:lang w:val="en-US" w:eastAsia="zh-CN"/>
        </w:rPr>
        <w:t>2</w:t>
      </w:r>
    </w:p>
    <w:p>
      <w:pPr>
        <w:adjustRightInd w:val="0"/>
        <w:snapToGrid w:val="0"/>
        <w:spacing w:line="360" w:lineRule="auto"/>
        <w:jc w:val="distribute"/>
        <w:rPr>
          <w:rFonts w:hint="eastAsia" w:eastAsia="宋体"/>
          <w:b/>
          <w:sz w:val="24"/>
          <w:szCs w:val="24"/>
          <w:lang w:val="en-US" w:eastAsia="zh-CN"/>
        </w:rPr>
      </w:pPr>
      <w:r>
        <w:rPr>
          <w:rFonts w:ascii="宋体" w:hAnsi="宋体"/>
          <w:b/>
          <w:sz w:val="24"/>
          <w:szCs w:val="24"/>
        </w:rPr>
        <w:t>4.</w:t>
      </w:r>
      <w:r>
        <w:rPr>
          <w:rFonts w:hint="eastAsia" w:ascii="宋体" w:hAnsi="宋体"/>
          <w:b/>
          <w:sz w:val="24"/>
          <w:szCs w:val="24"/>
        </w:rPr>
        <w:t>校企合作</w:t>
      </w:r>
      <w:r>
        <w:rPr>
          <w:b/>
          <w:sz w:val="24"/>
          <w:szCs w:val="24"/>
        </w:rPr>
        <w:t>…………………………………………………………….…………  1</w:t>
      </w:r>
      <w:r>
        <w:rPr>
          <w:rFonts w:hint="eastAsia"/>
          <w:b/>
          <w:sz w:val="24"/>
          <w:szCs w:val="24"/>
          <w:lang w:val="en-US" w:eastAsia="zh-CN"/>
        </w:rPr>
        <w:t>2</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4.1</w:t>
      </w:r>
      <w:r>
        <w:rPr>
          <w:rFonts w:hint="eastAsia"/>
          <w:sz w:val="24"/>
          <w:szCs w:val="24"/>
        </w:rPr>
        <w:t>校企合作开展情况和效果</w:t>
      </w:r>
      <w:r>
        <w:rPr>
          <w:sz w:val="24"/>
          <w:szCs w:val="24"/>
        </w:rPr>
        <w:t>…………………………………………………  1</w:t>
      </w:r>
      <w:r>
        <w:rPr>
          <w:rFonts w:hint="eastAsia"/>
          <w:sz w:val="24"/>
          <w:szCs w:val="24"/>
          <w:lang w:val="en-US" w:eastAsia="zh-CN"/>
        </w:rPr>
        <w:t>2</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4.2 </w:t>
      </w:r>
      <w:r>
        <w:rPr>
          <w:rFonts w:hint="eastAsia"/>
          <w:sz w:val="24"/>
          <w:szCs w:val="24"/>
        </w:rPr>
        <w:t>学生实习情况</w:t>
      </w:r>
      <w:r>
        <w:rPr>
          <w:sz w:val="24"/>
          <w:szCs w:val="24"/>
        </w:rPr>
        <w:t>……………………………………………………………..  1</w:t>
      </w:r>
      <w:r>
        <w:rPr>
          <w:rFonts w:hint="eastAsia"/>
          <w:sz w:val="24"/>
          <w:szCs w:val="24"/>
          <w:lang w:val="en-US" w:eastAsia="zh-CN"/>
        </w:rPr>
        <w:t>4</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4.3 </w:t>
      </w:r>
      <w:r>
        <w:rPr>
          <w:rFonts w:hint="eastAsia"/>
          <w:sz w:val="24"/>
          <w:szCs w:val="24"/>
        </w:rPr>
        <w:t>集团化办学情况</w:t>
      </w:r>
      <w:r>
        <w:rPr>
          <w:sz w:val="24"/>
          <w:szCs w:val="24"/>
        </w:rPr>
        <w:t>…………………………………………………………… 1</w:t>
      </w:r>
      <w:r>
        <w:rPr>
          <w:rFonts w:hint="eastAsia"/>
          <w:sz w:val="24"/>
          <w:szCs w:val="24"/>
          <w:lang w:val="en-US" w:eastAsia="zh-CN"/>
        </w:rPr>
        <w:t>4</w:t>
      </w:r>
    </w:p>
    <w:p>
      <w:pPr>
        <w:adjustRightInd w:val="0"/>
        <w:snapToGrid w:val="0"/>
        <w:spacing w:line="360" w:lineRule="auto"/>
        <w:jc w:val="distribute"/>
        <w:rPr>
          <w:rFonts w:hint="eastAsia" w:eastAsia="宋体"/>
          <w:b/>
          <w:sz w:val="24"/>
          <w:szCs w:val="24"/>
          <w:lang w:eastAsia="zh-CN"/>
        </w:rPr>
      </w:pPr>
      <w:r>
        <w:rPr>
          <w:rFonts w:ascii="宋体" w:hAnsi="宋体"/>
          <w:b/>
          <w:sz w:val="24"/>
          <w:szCs w:val="24"/>
        </w:rPr>
        <w:t>5.</w:t>
      </w:r>
      <w:r>
        <w:rPr>
          <w:rFonts w:hint="eastAsia" w:ascii="宋体" w:hAnsi="宋体"/>
          <w:b/>
          <w:sz w:val="24"/>
          <w:szCs w:val="24"/>
        </w:rPr>
        <w:t>社会贡献</w:t>
      </w:r>
      <w:r>
        <w:rPr>
          <w:b/>
          <w:sz w:val="24"/>
          <w:szCs w:val="24"/>
        </w:rPr>
        <w:t>……………………………………..…………………………..….. … 1</w:t>
      </w:r>
      <w:r>
        <w:rPr>
          <w:rFonts w:hint="eastAsia"/>
          <w:b/>
          <w:sz w:val="24"/>
          <w:szCs w:val="24"/>
          <w:lang w:val="en-US" w:eastAsia="zh-CN"/>
        </w:rPr>
        <w:t>4</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5.1 </w:t>
      </w:r>
      <w:r>
        <w:rPr>
          <w:rFonts w:hint="eastAsia"/>
          <w:sz w:val="24"/>
          <w:szCs w:val="24"/>
        </w:rPr>
        <w:t>技术技能人才培养</w:t>
      </w:r>
      <w:r>
        <w:rPr>
          <w:sz w:val="24"/>
          <w:szCs w:val="24"/>
        </w:rPr>
        <w:t>………………………………………………………… 1</w:t>
      </w:r>
      <w:r>
        <w:rPr>
          <w:rFonts w:hint="eastAsia"/>
          <w:sz w:val="24"/>
          <w:szCs w:val="24"/>
          <w:lang w:val="en-US" w:eastAsia="zh-CN"/>
        </w:rPr>
        <w:t>4</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5.2 </w:t>
      </w:r>
      <w:r>
        <w:rPr>
          <w:rFonts w:hint="eastAsia"/>
          <w:sz w:val="24"/>
          <w:szCs w:val="24"/>
        </w:rPr>
        <w:t>社会服务</w:t>
      </w:r>
      <w:r>
        <w:rPr>
          <w:sz w:val="24"/>
          <w:szCs w:val="24"/>
        </w:rPr>
        <w:t>………………………………………………………….………… 1</w:t>
      </w:r>
      <w:r>
        <w:rPr>
          <w:rFonts w:hint="eastAsia"/>
          <w:sz w:val="24"/>
          <w:szCs w:val="24"/>
          <w:lang w:val="en-US" w:eastAsia="zh-CN"/>
        </w:rPr>
        <w:t>5</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5.3 </w:t>
      </w:r>
      <w:r>
        <w:rPr>
          <w:rFonts w:hint="eastAsia"/>
          <w:sz w:val="24"/>
          <w:szCs w:val="24"/>
        </w:rPr>
        <w:t>对口支援</w:t>
      </w:r>
      <w:r>
        <w:rPr>
          <w:sz w:val="24"/>
          <w:szCs w:val="24"/>
        </w:rPr>
        <w:t>…………………………………..…………………………………1</w:t>
      </w:r>
      <w:r>
        <w:rPr>
          <w:rFonts w:hint="eastAsia"/>
          <w:sz w:val="24"/>
          <w:szCs w:val="24"/>
          <w:lang w:val="en-US" w:eastAsia="zh-CN"/>
        </w:rPr>
        <w:t>6</w:t>
      </w:r>
    </w:p>
    <w:p>
      <w:pPr>
        <w:adjustRightInd w:val="0"/>
        <w:snapToGrid w:val="0"/>
        <w:spacing w:line="360" w:lineRule="auto"/>
        <w:jc w:val="distribute"/>
        <w:rPr>
          <w:rFonts w:hint="eastAsia" w:eastAsia="宋体"/>
          <w:b/>
          <w:sz w:val="24"/>
          <w:szCs w:val="24"/>
          <w:lang w:eastAsia="zh-CN"/>
        </w:rPr>
      </w:pPr>
      <w:r>
        <w:rPr>
          <w:rFonts w:ascii="宋体" w:hAnsi="宋体"/>
          <w:b/>
          <w:sz w:val="24"/>
          <w:szCs w:val="24"/>
        </w:rPr>
        <w:t>6.</w:t>
      </w:r>
      <w:r>
        <w:rPr>
          <w:rFonts w:hint="eastAsia" w:ascii="宋体" w:hAnsi="宋体"/>
          <w:b/>
          <w:sz w:val="24"/>
          <w:szCs w:val="24"/>
        </w:rPr>
        <w:t>举办者履责</w:t>
      </w:r>
      <w:r>
        <w:rPr>
          <w:b/>
          <w:sz w:val="24"/>
          <w:szCs w:val="24"/>
        </w:rPr>
        <w:t>……………………………………………………………………..…1</w:t>
      </w:r>
      <w:r>
        <w:rPr>
          <w:rFonts w:hint="eastAsia"/>
          <w:b/>
          <w:sz w:val="24"/>
          <w:szCs w:val="24"/>
          <w:lang w:val="en-US" w:eastAsia="zh-CN"/>
        </w:rPr>
        <w:t>6</w:t>
      </w:r>
    </w:p>
    <w:p>
      <w:pPr>
        <w:adjustRightInd w:val="0"/>
        <w:snapToGrid w:val="0"/>
        <w:spacing w:line="360" w:lineRule="auto"/>
        <w:ind w:firstLine="482" w:firstLineChars="200"/>
        <w:jc w:val="distribute"/>
        <w:rPr>
          <w:b/>
          <w:sz w:val="24"/>
          <w:szCs w:val="24"/>
        </w:rPr>
        <w:sectPr>
          <w:footerReference r:id="rId5" w:type="default"/>
          <w:pgSz w:w="11906" w:h="16838"/>
          <w:pgMar w:top="1440" w:right="1800" w:bottom="1440" w:left="1800" w:header="851" w:footer="992" w:gutter="0"/>
          <w:pgNumType w:fmt="decimal" w:start="1"/>
          <w:cols w:space="720" w:num="1"/>
          <w:docGrid w:type="lines" w:linePitch="312" w:charSpace="0"/>
        </w:sectPr>
      </w:pPr>
    </w:p>
    <w:p>
      <w:pPr>
        <w:adjustRightInd w:val="0"/>
        <w:snapToGrid w:val="0"/>
        <w:spacing w:line="360" w:lineRule="auto"/>
        <w:ind w:firstLine="283" w:firstLineChars="118"/>
        <w:jc w:val="distribute"/>
        <w:rPr>
          <w:rFonts w:hint="eastAsia" w:eastAsia="宋体"/>
          <w:sz w:val="24"/>
          <w:szCs w:val="24"/>
          <w:lang w:eastAsia="zh-CN"/>
        </w:rPr>
      </w:pPr>
      <w:r>
        <w:rPr>
          <w:sz w:val="24"/>
          <w:szCs w:val="24"/>
        </w:rPr>
        <w:t>6.1</w:t>
      </w:r>
      <w:r>
        <w:rPr>
          <w:rFonts w:hint="eastAsia"/>
          <w:sz w:val="24"/>
          <w:szCs w:val="24"/>
        </w:rPr>
        <w:t>经费</w:t>
      </w:r>
      <w:r>
        <w:rPr>
          <w:sz w:val="24"/>
          <w:szCs w:val="24"/>
        </w:rPr>
        <w:t>…………………………………..…..…………………….…………1</w:t>
      </w:r>
      <w:r>
        <w:rPr>
          <w:rFonts w:hint="eastAsia"/>
          <w:sz w:val="24"/>
          <w:szCs w:val="24"/>
          <w:lang w:val="en-US" w:eastAsia="zh-CN"/>
        </w:rPr>
        <w:t>6</w:t>
      </w:r>
    </w:p>
    <w:p>
      <w:pPr>
        <w:adjustRightInd w:val="0"/>
        <w:snapToGrid w:val="0"/>
        <w:spacing w:line="360" w:lineRule="auto"/>
        <w:ind w:firstLine="283" w:firstLineChars="118"/>
        <w:jc w:val="distribute"/>
        <w:rPr>
          <w:rFonts w:hint="eastAsia" w:eastAsia="宋体"/>
          <w:sz w:val="24"/>
          <w:szCs w:val="24"/>
          <w:lang w:eastAsia="zh-CN"/>
        </w:rPr>
      </w:pPr>
      <w:r>
        <w:rPr>
          <w:sz w:val="24"/>
          <w:szCs w:val="24"/>
        </w:rPr>
        <w:t xml:space="preserve">6.2 </w:t>
      </w:r>
      <w:r>
        <w:rPr>
          <w:rFonts w:hint="eastAsia"/>
          <w:sz w:val="24"/>
          <w:szCs w:val="24"/>
        </w:rPr>
        <w:t>政策措施</w:t>
      </w:r>
      <w:r>
        <w:rPr>
          <w:sz w:val="24"/>
          <w:szCs w:val="24"/>
        </w:rPr>
        <w:t>………………………………..……..……………...………… 1</w:t>
      </w:r>
      <w:r>
        <w:rPr>
          <w:rFonts w:hint="eastAsia"/>
          <w:sz w:val="24"/>
          <w:szCs w:val="24"/>
          <w:lang w:val="en-US" w:eastAsia="zh-CN"/>
        </w:rPr>
        <w:t>6</w:t>
      </w:r>
    </w:p>
    <w:p>
      <w:pPr>
        <w:adjustRightInd w:val="0"/>
        <w:snapToGrid w:val="0"/>
        <w:spacing w:line="360" w:lineRule="auto"/>
        <w:jc w:val="distribute"/>
        <w:rPr>
          <w:rFonts w:hint="default" w:eastAsia="宋体"/>
          <w:b/>
          <w:sz w:val="24"/>
          <w:szCs w:val="24"/>
          <w:lang w:val="en-US" w:eastAsia="zh-CN"/>
        </w:rPr>
      </w:pPr>
      <w:r>
        <w:rPr>
          <w:rFonts w:ascii="宋体" w:hAnsi="宋体"/>
          <w:b/>
          <w:sz w:val="24"/>
          <w:szCs w:val="24"/>
        </w:rPr>
        <w:t>7.</w:t>
      </w:r>
      <w:r>
        <w:rPr>
          <w:rFonts w:hint="eastAsia" w:ascii="宋体" w:hAnsi="宋体"/>
          <w:b/>
          <w:sz w:val="24"/>
          <w:szCs w:val="24"/>
        </w:rPr>
        <w:t>特色创新</w:t>
      </w:r>
      <w:r>
        <w:rPr>
          <w:b/>
          <w:sz w:val="24"/>
          <w:szCs w:val="24"/>
        </w:rPr>
        <w:t>………………………………………………………………..…..……</w:t>
      </w:r>
      <w:r>
        <w:rPr>
          <w:rFonts w:hint="eastAsia"/>
          <w:b/>
          <w:sz w:val="24"/>
          <w:szCs w:val="24"/>
          <w:lang w:val="en-US" w:eastAsia="zh-CN"/>
        </w:rPr>
        <w:t>17</w:t>
      </w:r>
    </w:p>
    <w:p>
      <w:pPr>
        <w:adjustRightInd w:val="0"/>
        <w:snapToGrid w:val="0"/>
        <w:spacing w:line="360" w:lineRule="auto"/>
        <w:ind w:firstLine="240" w:firstLineChars="100"/>
        <w:jc w:val="distribute"/>
        <w:rPr>
          <w:rFonts w:hint="default" w:eastAsia="宋体"/>
          <w:sz w:val="24"/>
          <w:szCs w:val="24"/>
          <w:lang w:val="en-US" w:eastAsia="zh-CN"/>
        </w:rPr>
      </w:pPr>
      <w:r>
        <w:rPr>
          <w:sz w:val="24"/>
          <w:szCs w:val="24"/>
        </w:rPr>
        <w:t>7.1</w:t>
      </w:r>
      <w:r>
        <w:rPr>
          <w:rFonts w:hint="eastAsia"/>
          <w:sz w:val="24"/>
          <w:szCs w:val="24"/>
        </w:rPr>
        <w:t>案例一：</w:t>
      </w:r>
      <w:r>
        <w:rPr>
          <w:rFonts w:hint="eastAsia" w:cs="宋体" w:asciiTheme="minorEastAsia" w:hAnsiTheme="minorEastAsia" w:eastAsiaTheme="minorEastAsia"/>
          <w:kern w:val="0"/>
          <w:sz w:val="24"/>
          <w:szCs w:val="24"/>
        </w:rPr>
        <w:t>浪费可耻，节约为荣</w:t>
      </w:r>
      <w:r>
        <w:rPr>
          <w:rFonts w:cs="宋体" w:asciiTheme="minorEastAsia" w:hAnsiTheme="minorEastAsia" w:eastAsiaTheme="minorEastAsia"/>
          <w:kern w:val="0"/>
          <w:sz w:val="24"/>
          <w:szCs w:val="24"/>
        </w:rPr>
        <w:t>——</w:t>
      </w:r>
      <w:r>
        <w:rPr>
          <w:rFonts w:hint="eastAsia" w:cs="宋体" w:asciiTheme="minorEastAsia" w:hAnsiTheme="minorEastAsia" w:eastAsiaTheme="minorEastAsia"/>
          <w:kern w:val="0"/>
          <w:sz w:val="24"/>
          <w:szCs w:val="24"/>
        </w:rPr>
        <w:t>光盘，我们一直在行动</w:t>
      </w:r>
      <w:r>
        <w:rPr>
          <w:sz w:val="24"/>
          <w:szCs w:val="24"/>
        </w:rPr>
        <w:t>……………………</w:t>
      </w:r>
      <w:r>
        <w:rPr>
          <w:rFonts w:hint="eastAsia"/>
          <w:sz w:val="24"/>
          <w:szCs w:val="24"/>
          <w:lang w:val="en-US" w:eastAsia="zh-CN"/>
        </w:rPr>
        <w:t>17</w:t>
      </w:r>
    </w:p>
    <w:p>
      <w:pPr>
        <w:adjustRightInd w:val="0"/>
        <w:snapToGrid w:val="0"/>
        <w:spacing w:line="360" w:lineRule="auto"/>
        <w:ind w:left="1170" w:leftChars="100" w:hanging="960" w:hangingChars="400"/>
        <w:rPr>
          <w:rFonts w:hint="eastAsia" w:eastAsia="宋体"/>
          <w:sz w:val="24"/>
          <w:szCs w:val="24"/>
          <w:lang w:eastAsia="zh-CN"/>
        </w:rPr>
      </w:pPr>
      <w:r>
        <w:rPr>
          <w:sz w:val="24"/>
          <w:szCs w:val="24"/>
        </w:rPr>
        <w:t>7.2</w:t>
      </w:r>
      <w:r>
        <w:rPr>
          <w:rFonts w:hint="eastAsia"/>
          <w:sz w:val="24"/>
          <w:szCs w:val="24"/>
        </w:rPr>
        <w:t>案例二：</w:t>
      </w:r>
      <w:r>
        <w:rPr>
          <w:rFonts w:cs="Microsoft YaHei UI" w:asciiTheme="minorEastAsia" w:hAnsiTheme="minorEastAsia" w:eastAsiaTheme="minorEastAsia"/>
          <w:color w:val="191919"/>
          <w:sz w:val="24"/>
          <w:szCs w:val="24"/>
          <w:shd w:val="clear" w:color="auto" w:fill="FFFFFF"/>
        </w:rPr>
        <w:t>观“风華正茂”</w:t>
      </w:r>
      <w:r>
        <w:rPr>
          <w:rFonts w:hint="eastAsia" w:cs="Microsoft YaHei UI" w:asciiTheme="minorEastAsia" w:hAnsiTheme="minorEastAsia" w:eastAsiaTheme="minorEastAsia"/>
          <w:color w:val="191919"/>
          <w:sz w:val="24"/>
          <w:szCs w:val="24"/>
          <w:shd w:val="clear" w:color="auto" w:fill="FFFFFF"/>
        </w:rPr>
        <w:t>——闽侯美术中等职业学校专业教师参观</w:t>
      </w:r>
      <w:r>
        <w:rPr>
          <w:rFonts w:cs="Microsoft YaHei UI" w:asciiTheme="minorEastAsia" w:hAnsiTheme="minorEastAsia" w:eastAsiaTheme="minorEastAsia"/>
          <w:color w:val="191919"/>
          <w:sz w:val="24"/>
          <w:szCs w:val="24"/>
          <w:shd w:val="clear" w:color="auto" w:fill="FFFFFF"/>
        </w:rPr>
        <w:t>中央美术学院造型学院藏（1951-2017）百张素描作品展有感</w:t>
      </w:r>
      <w:r>
        <w:rPr>
          <w:sz w:val="24"/>
          <w:szCs w:val="24"/>
        </w:rPr>
        <w:t>……………………2</w:t>
      </w:r>
      <w:r>
        <w:rPr>
          <w:rFonts w:hint="eastAsia"/>
          <w:sz w:val="24"/>
          <w:szCs w:val="24"/>
          <w:lang w:val="en-US" w:eastAsia="zh-CN"/>
        </w:rPr>
        <w:t>0</w:t>
      </w:r>
    </w:p>
    <w:p>
      <w:pPr>
        <w:adjustRightInd w:val="0"/>
        <w:snapToGrid w:val="0"/>
        <w:spacing w:line="360" w:lineRule="auto"/>
        <w:jc w:val="distribute"/>
        <w:rPr>
          <w:rFonts w:hint="default" w:eastAsia="宋体"/>
          <w:b/>
          <w:sz w:val="24"/>
          <w:szCs w:val="24"/>
          <w:lang w:val="en-US" w:eastAsia="zh-CN"/>
        </w:rPr>
      </w:pPr>
      <w:r>
        <w:rPr>
          <w:rFonts w:ascii="宋体" w:hAnsi="宋体"/>
          <w:b/>
          <w:sz w:val="24"/>
          <w:szCs w:val="24"/>
        </w:rPr>
        <w:t>8.</w:t>
      </w:r>
      <w:r>
        <w:rPr>
          <w:rFonts w:hint="eastAsia" w:ascii="宋体" w:hAnsi="宋体"/>
          <w:b/>
          <w:sz w:val="24"/>
          <w:szCs w:val="24"/>
        </w:rPr>
        <w:t>主要问题和改进措施</w:t>
      </w:r>
      <w:r>
        <w:rPr>
          <w:b/>
          <w:sz w:val="24"/>
          <w:szCs w:val="24"/>
        </w:rPr>
        <w:t>……………………………………………………………….</w:t>
      </w:r>
      <w:r>
        <w:rPr>
          <w:rFonts w:hint="eastAsia"/>
          <w:b/>
          <w:sz w:val="24"/>
          <w:szCs w:val="24"/>
          <w:lang w:val="en-US" w:eastAsia="zh-CN"/>
        </w:rPr>
        <w:t>25</w:t>
      </w:r>
    </w:p>
    <w:p>
      <w:pPr>
        <w:rPr>
          <w:rFonts w:ascii="??_GB2312" w:hAnsi="仿宋"/>
          <w:sz w:val="32"/>
          <w:szCs w:val="32"/>
        </w:rPr>
      </w:pPr>
    </w:p>
    <w:p>
      <w:pPr>
        <w:rPr>
          <w:rFonts w:ascii="??_GB2312" w:hAnsi="仿宋"/>
          <w:sz w:val="32"/>
          <w:szCs w:val="32"/>
        </w:rPr>
      </w:pPr>
    </w:p>
    <w:p>
      <w:pPr>
        <w:spacing w:line="400" w:lineRule="exact"/>
        <w:rPr>
          <w:rFonts w:ascii="宋体"/>
          <w:b/>
          <w:sz w:val="28"/>
          <w:szCs w:val="28"/>
        </w:rPr>
        <w:sectPr>
          <w:footerReference r:id="rId6" w:type="default"/>
          <w:pgSz w:w="11906" w:h="16838"/>
          <w:pgMar w:top="1440" w:right="1466" w:bottom="1440" w:left="1800" w:header="851" w:footer="992" w:gutter="0"/>
          <w:pgNumType w:fmt="decimal"/>
          <w:cols w:space="425" w:num="1"/>
          <w:docGrid w:type="lines" w:linePitch="312" w:charSpace="0"/>
        </w:sectPr>
      </w:pPr>
    </w:p>
    <w:p>
      <w:pPr>
        <w:spacing w:line="400" w:lineRule="exact"/>
        <w:ind w:firstLine="413" w:firstLineChars="147"/>
        <w:rPr>
          <w:rFonts w:ascii="宋体"/>
          <w:b/>
          <w:sz w:val="28"/>
          <w:szCs w:val="28"/>
        </w:rPr>
      </w:pPr>
      <w:r>
        <w:rPr>
          <w:rFonts w:ascii="宋体" w:hAnsi="宋体"/>
          <w:b/>
          <w:sz w:val="28"/>
          <w:szCs w:val="28"/>
        </w:rPr>
        <w:t>1.</w:t>
      </w:r>
      <w:r>
        <w:rPr>
          <w:rFonts w:hint="eastAsia" w:ascii="宋体" w:hAnsi="宋体"/>
          <w:b/>
          <w:sz w:val="28"/>
          <w:szCs w:val="28"/>
        </w:rPr>
        <w:t>学校情况</w:t>
      </w:r>
    </w:p>
    <w:p>
      <w:pPr>
        <w:spacing w:line="400" w:lineRule="exact"/>
        <w:rPr>
          <w:rFonts w:ascii="宋体"/>
          <w:b/>
          <w:sz w:val="24"/>
          <w:szCs w:val="24"/>
        </w:rPr>
      </w:pPr>
    </w:p>
    <w:p>
      <w:pPr>
        <w:spacing w:line="480" w:lineRule="exact"/>
        <w:ind w:firstLine="413" w:firstLineChars="147"/>
        <w:rPr>
          <w:rFonts w:ascii="宋体"/>
          <w:b/>
          <w:sz w:val="28"/>
          <w:szCs w:val="28"/>
        </w:rPr>
      </w:pPr>
      <w:r>
        <w:rPr>
          <w:rFonts w:ascii="宋体" w:hAnsi="宋体"/>
          <w:b/>
          <w:sz w:val="28"/>
          <w:szCs w:val="28"/>
        </w:rPr>
        <w:t>1.1</w:t>
      </w:r>
      <w:r>
        <w:rPr>
          <w:rFonts w:hint="eastAsia" w:ascii="宋体" w:hAnsi="宋体"/>
          <w:b/>
          <w:sz w:val="28"/>
          <w:szCs w:val="28"/>
        </w:rPr>
        <w:t>学校概况</w:t>
      </w:r>
    </w:p>
    <w:p>
      <w:pPr>
        <w:spacing w:line="400" w:lineRule="exact"/>
        <w:ind w:firstLine="480" w:firstLineChars="200"/>
        <w:rPr>
          <w:rFonts w:hint="eastAsia"/>
          <w:szCs w:val="24"/>
        </w:rPr>
      </w:pPr>
      <w:r>
        <w:rPr>
          <w:rFonts w:hint="eastAsia" w:ascii="宋体" w:hAnsi="宋体"/>
          <w:sz w:val="24"/>
          <w:szCs w:val="24"/>
        </w:rPr>
        <w:t>闽侯县美术中等职业学校创办于</w:t>
      </w:r>
      <w:r>
        <w:rPr>
          <w:rFonts w:ascii="宋体" w:hAnsi="宋体"/>
          <w:sz w:val="24"/>
          <w:szCs w:val="24"/>
        </w:rPr>
        <w:t>19</w:t>
      </w:r>
      <w:r>
        <w:rPr>
          <w:rFonts w:hint="eastAsia" w:ascii="宋体" w:hAnsi="宋体"/>
          <w:sz w:val="24"/>
          <w:szCs w:val="24"/>
        </w:rPr>
        <w:t>78年（前身为</w:t>
      </w:r>
      <w:r>
        <w:rPr>
          <w:rFonts w:hint="eastAsia" w:asciiTheme="minorEastAsia" w:hAnsiTheme="minorEastAsia" w:eastAsiaTheme="minorEastAsia"/>
          <w:sz w:val="24"/>
          <w:szCs w:val="24"/>
        </w:rPr>
        <w:t>闽侯县尧沙初级中学、</w:t>
      </w:r>
      <w:r>
        <w:rPr>
          <w:rFonts w:hint="eastAsia" w:ascii="宋体" w:hAnsi="宋体"/>
          <w:sz w:val="24"/>
          <w:szCs w:val="24"/>
        </w:rPr>
        <w:t>闽侯县尧沙职业中学，2</w:t>
      </w:r>
      <w:r>
        <w:rPr>
          <w:rFonts w:hint="eastAsia" w:asciiTheme="minorEastAsia" w:hAnsiTheme="minorEastAsia" w:eastAsiaTheme="minorEastAsia"/>
          <w:sz w:val="24"/>
          <w:szCs w:val="24"/>
        </w:rPr>
        <w:t>002年升级为闽侯县美术中等职业学校，</w:t>
      </w:r>
      <w:r>
        <w:rPr>
          <w:rFonts w:ascii="宋体" w:hAnsi="宋体"/>
          <w:sz w:val="24"/>
          <w:szCs w:val="24"/>
        </w:rPr>
        <w:t>2019</w:t>
      </w:r>
      <w:r>
        <w:rPr>
          <w:rFonts w:hint="eastAsia" w:ascii="宋体" w:hAnsi="宋体"/>
          <w:sz w:val="24"/>
          <w:szCs w:val="24"/>
        </w:rPr>
        <w:t>年</w:t>
      </w:r>
      <w:r>
        <w:rPr>
          <w:rFonts w:ascii="宋体" w:hAnsi="宋体"/>
          <w:sz w:val="24"/>
          <w:szCs w:val="24"/>
        </w:rPr>
        <w:t>9</w:t>
      </w:r>
      <w:r>
        <w:rPr>
          <w:rFonts w:hint="eastAsia" w:ascii="宋体" w:hAnsi="宋体"/>
          <w:sz w:val="24"/>
          <w:szCs w:val="24"/>
        </w:rPr>
        <w:t>月更名为福州高新区美术中等职业学校，区属公办事业单位）。</w:t>
      </w:r>
      <w:r>
        <w:rPr>
          <w:rFonts w:hint="eastAsia" w:asciiTheme="minorEastAsia" w:hAnsiTheme="minorEastAsia" w:eastAsiaTheme="minorEastAsia"/>
          <w:sz w:val="24"/>
          <w:szCs w:val="24"/>
        </w:rPr>
        <w:t>创校伊始，学校招收的都是初中学生；自1981年开始，学校增设美术和学前教育两个专业，</w:t>
      </w:r>
      <w:r>
        <w:rPr>
          <w:rFonts w:hint="eastAsia" w:ascii="宋体" w:hAnsi="宋体"/>
          <w:sz w:val="24"/>
          <w:szCs w:val="24"/>
        </w:rPr>
        <w:t>是福建省首批以美术和学前教育为特色的公办中等职业学校，</w:t>
      </w:r>
      <w:r>
        <w:rPr>
          <w:rFonts w:hint="eastAsia" w:asciiTheme="minorEastAsia" w:hAnsiTheme="minorEastAsia" w:eastAsiaTheme="minorEastAsia"/>
          <w:sz w:val="24"/>
          <w:szCs w:val="24"/>
        </w:rPr>
        <w:t>学校转型为初中、职高兼收的混合型学校；2003年初中部停止招生，升级为职业中专。</w:t>
      </w:r>
      <w:r>
        <w:rPr>
          <w:rFonts w:ascii="宋体" w:hAnsi="宋体"/>
          <w:sz w:val="24"/>
          <w:szCs w:val="24"/>
        </w:rPr>
        <w:t>2017</w:t>
      </w:r>
      <w:r>
        <w:rPr>
          <w:rFonts w:hint="eastAsia" w:ascii="宋体" w:hAnsi="宋体"/>
          <w:sz w:val="24"/>
          <w:szCs w:val="24"/>
        </w:rPr>
        <w:t>年通过福建省级中等职业学校达标评估。</w:t>
      </w:r>
    </w:p>
    <w:p>
      <w:pPr>
        <w:spacing w:line="400" w:lineRule="exact"/>
        <w:ind w:firstLine="480" w:firstLineChars="200"/>
        <w:rPr>
          <w:szCs w:val="24"/>
        </w:rPr>
      </w:pPr>
      <w:r>
        <w:rPr>
          <w:rFonts w:hint="eastAsia" w:ascii="宋体" w:hAnsi="宋体"/>
          <w:sz w:val="24"/>
          <w:szCs w:val="24"/>
        </w:rPr>
        <w:t>学校位于福州高新区南屿镇，北邻旗山风景区，南伴大樟溪，西连南港大桥，东接福永公路，环境幽美，交通便捷。</w:t>
      </w:r>
    </w:p>
    <w:p>
      <w:pPr>
        <w:spacing w:line="400" w:lineRule="exact"/>
        <w:ind w:firstLine="480"/>
        <w:rPr>
          <w:rFonts w:ascii="宋体"/>
          <w:sz w:val="24"/>
          <w:szCs w:val="24"/>
        </w:rPr>
      </w:pPr>
      <w:r>
        <w:rPr>
          <w:rFonts w:hint="eastAsia" w:ascii="宋体" w:hAnsi="宋体"/>
          <w:sz w:val="24"/>
          <w:szCs w:val="24"/>
        </w:rPr>
        <w:t>学校师资力量雄厚，教学设施完善，</w:t>
      </w:r>
      <w:r>
        <w:rPr>
          <w:rFonts w:hint="eastAsia" w:ascii="宋体" w:hAnsi="宋体"/>
          <w:sz w:val="24"/>
        </w:rPr>
        <w:t>学校与地区产业结合，</w:t>
      </w:r>
      <w:r>
        <w:rPr>
          <w:rFonts w:hint="eastAsia" w:ascii="宋体" w:hAnsi="宋体"/>
          <w:sz w:val="24"/>
          <w:szCs w:val="24"/>
        </w:rPr>
        <w:t>现有美术绘画、装潢设计与制作、美术设计与制作、工艺品设计制作、民族工艺品制作</w:t>
      </w:r>
      <w:r>
        <w:rPr>
          <w:rFonts w:ascii="宋体" w:hAnsi="宋体"/>
          <w:sz w:val="24"/>
          <w:szCs w:val="24"/>
        </w:rPr>
        <w:t>(</w:t>
      </w:r>
      <w:r>
        <w:rPr>
          <w:rFonts w:hint="eastAsia" w:ascii="宋体" w:hAnsi="宋体"/>
          <w:sz w:val="24"/>
          <w:szCs w:val="24"/>
        </w:rPr>
        <w:t>民族陶艺</w:t>
      </w:r>
      <w:r>
        <w:rPr>
          <w:rFonts w:ascii="宋体" w:hAnsi="宋体"/>
          <w:sz w:val="24"/>
          <w:szCs w:val="24"/>
        </w:rPr>
        <w:t>)</w:t>
      </w:r>
      <w:r>
        <w:rPr>
          <w:rFonts w:hint="eastAsia" w:ascii="宋体" w:hAnsi="宋体"/>
          <w:sz w:val="24"/>
          <w:szCs w:val="24"/>
        </w:rPr>
        <w:t>、学前教育、学前教育（保育员）等七个专业，现有</w:t>
      </w:r>
      <w:r>
        <w:rPr>
          <w:rFonts w:ascii="宋体" w:hAnsi="宋体"/>
          <w:sz w:val="24"/>
          <w:szCs w:val="24"/>
        </w:rPr>
        <w:t>6</w:t>
      </w:r>
      <w:r>
        <w:rPr>
          <w:rFonts w:hint="eastAsia" w:ascii="宋体" w:hAnsi="宋体"/>
          <w:sz w:val="24"/>
          <w:szCs w:val="24"/>
        </w:rPr>
        <w:t>3位教职工，校园占地面积</w:t>
      </w:r>
      <w:r>
        <w:rPr>
          <w:rFonts w:ascii="宋体" w:hAnsi="宋体"/>
          <w:sz w:val="24"/>
          <w:szCs w:val="24"/>
        </w:rPr>
        <w:t>24.5</w:t>
      </w:r>
      <w:r>
        <w:rPr>
          <w:rFonts w:hint="eastAsia" w:ascii="宋体" w:hAnsi="宋体"/>
          <w:sz w:val="24"/>
          <w:szCs w:val="24"/>
        </w:rPr>
        <w:t>亩，建筑面积6900</w:t>
      </w:r>
      <w:r>
        <w:rPr>
          <w:rFonts w:ascii="宋体" w:hAnsi="宋体"/>
          <w:sz w:val="24"/>
          <w:szCs w:val="24"/>
        </w:rPr>
        <w:t>.8</w:t>
      </w:r>
      <w:r>
        <w:rPr>
          <w:rFonts w:hint="eastAsia" w:ascii="宋体" w:hAnsi="宋体"/>
          <w:sz w:val="24"/>
          <w:szCs w:val="24"/>
        </w:rPr>
        <w:t>平方米，固定资产980.3万元。</w:t>
      </w:r>
    </w:p>
    <w:p>
      <w:pPr>
        <w:spacing w:line="40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校办学目标明确，自开办职业教育以来，为大中专院校输送了大量人才，为社会做出了巨大贡献，也为学习后进生开创了一片新天地。近几年，夏季艺术类高考中，学校美术绘画、学前教育专业学生本科上线率都能达到40%以上，大专上线率95%以上，剩下学生100%就业；2020年福建省高职分类考试报考学生，大专100%被录取。</w:t>
      </w:r>
    </w:p>
    <w:p>
      <w:pPr>
        <w:spacing w:line="400" w:lineRule="exact"/>
        <w:ind w:firstLine="480" w:firstLineChars="200"/>
        <w:rPr>
          <w:rFonts w:ascii="宋体"/>
          <w:sz w:val="24"/>
          <w:szCs w:val="24"/>
        </w:rPr>
      </w:pPr>
      <w:r>
        <w:rPr>
          <w:rFonts w:hint="eastAsia" w:asciiTheme="minorEastAsia" w:hAnsiTheme="minorEastAsia" w:eastAsiaTheme="minorEastAsia"/>
          <w:sz w:val="24"/>
          <w:szCs w:val="24"/>
        </w:rPr>
        <w:t>学校培养的大部分学生进入知名品牌公司就业，许多学生在福建沿海的厦门、泉州、福州，广东、深圳、上海创业，开办自己公司和企业，成就喜人。</w:t>
      </w:r>
    </w:p>
    <w:p>
      <w:pPr>
        <w:spacing w:line="400" w:lineRule="exact"/>
        <w:rPr>
          <w:rFonts w:ascii="宋体"/>
          <w:sz w:val="24"/>
          <w:szCs w:val="24"/>
        </w:rPr>
      </w:pPr>
      <w:r>
        <w:rPr>
          <w:rFonts w:ascii="宋体" w:hAnsi="宋体"/>
          <w:sz w:val="24"/>
          <w:szCs w:val="24"/>
        </w:rPr>
        <w:t xml:space="preserve">    </w:t>
      </w:r>
      <w:r>
        <w:rPr>
          <w:rFonts w:hint="eastAsia" w:ascii="宋体" w:hAnsi="宋体"/>
          <w:sz w:val="24"/>
          <w:szCs w:val="24"/>
        </w:rPr>
        <w:t>学校多次荣获市、县区级各项荣誉；</w:t>
      </w:r>
      <w:r>
        <w:rPr>
          <w:rFonts w:ascii="宋体" w:hAnsi="宋体"/>
          <w:sz w:val="24"/>
          <w:szCs w:val="24"/>
        </w:rPr>
        <w:t>2016</w:t>
      </w:r>
      <w:r>
        <w:rPr>
          <w:rFonts w:hint="eastAsia" w:ascii="宋体" w:hAnsi="宋体"/>
          <w:sz w:val="24"/>
          <w:szCs w:val="24"/>
        </w:rPr>
        <w:t>年被泉州工艺美术职业学院、</w:t>
      </w:r>
      <w:r>
        <w:rPr>
          <w:rFonts w:ascii="宋体" w:hAnsi="宋体"/>
          <w:sz w:val="24"/>
          <w:szCs w:val="24"/>
        </w:rPr>
        <w:t>2017</w:t>
      </w:r>
      <w:r>
        <w:rPr>
          <w:rFonts w:hint="eastAsia" w:ascii="宋体" w:hAnsi="宋体"/>
          <w:sz w:val="24"/>
          <w:szCs w:val="24"/>
        </w:rPr>
        <w:t>年被三明学院分别授予“优质生源基地”、“实习基地”；</w:t>
      </w:r>
      <w:r>
        <w:rPr>
          <w:rFonts w:ascii="宋体" w:hAnsi="宋体"/>
          <w:sz w:val="24"/>
          <w:szCs w:val="24"/>
        </w:rPr>
        <w:t>2018</w:t>
      </w:r>
      <w:r>
        <w:rPr>
          <w:rFonts w:hint="eastAsia" w:ascii="宋体" w:hAnsi="宋体"/>
          <w:sz w:val="24"/>
          <w:szCs w:val="24"/>
        </w:rPr>
        <w:t>年</w:t>
      </w:r>
      <w:r>
        <w:rPr>
          <w:rFonts w:ascii="宋体" w:hAnsi="宋体"/>
          <w:sz w:val="24"/>
          <w:szCs w:val="24"/>
        </w:rPr>
        <w:t>6</w:t>
      </w:r>
      <w:r>
        <w:rPr>
          <w:rFonts w:hint="eastAsia" w:ascii="宋体" w:hAnsi="宋体"/>
          <w:sz w:val="24"/>
          <w:szCs w:val="24"/>
        </w:rPr>
        <w:t>月又被评为区级“文明学校”（2020年12月正进行市级“文明学校”申报评估）。</w:t>
      </w:r>
    </w:p>
    <w:p>
      <w:pPr>
        <w:spacing w:line="400" w:lineRule="exact"/>
        <w:ind w:firstLine="480" w:firstLineChars="200"/>
        <w:rPr>
          <w:rFonts w:ascii="宋体"/>
          <w:sz w:val="24"/>
          <w:szCs w:val="24"/>
        </w:rPr>
      </w:pPr>
      <w:r>
        <w:rPr>
          <w:rFonts w:hint="eastAsia" w:ascii="宋体" w:hAnsi="宋体"/>
          <w:sz w:val="24"/>
          <w:szCs w:val="24"/>
        </w:rPr>
        <w:t>在福州高新区管委会大力支持下，目前学校正在按各项程序进行新校区建设（建筑面积</w:t>
      </w:r>
      <w:r>
        <w:rPr>
          <w:rFonts w:ascii="宋体" w:hAnsi="宋体"/>
          <w:sz w:val="24"/>
          <w:szCs w:val="24"/>
        </w:rPr>
        <w:t>4</w:t>
      </w:r>
      <w:r>
        <w:rPr>
          <w:rFonts w:hint="eastAsia" w:ascii="宋体" w:hAnsi="宋体"/>
          <w:sz w:val="24"/>
          <w:szCs w:val="24"/>
        </w:rPr>
        <w:t>6</w:t>
      </w:r>
      <w:r>
        <w:rPr>
          <w:rFonts w:ascii="宋体" w:hAnsi="宋体"/>
          <w:sz w:val="24"/>
          <w:szCs w:val="24"/>
        </w:rPr>
        <w:t>000</w:t>
      </w:r>
      <w:r>
        <w:rPr>
          <w:rFonts w:hint="eastAsia" w:ascii="宋体" w:hAnsi="宋体"/>
          <w:sz w:val="24"/>
          <w:szCs w:val="24"/>
        </w:rPr>
        <w:t>平方米</w:t>
      </w:r>
      <w:r>
        <w:rPr>
          <w:rFonts w:ascii="宋体"/>
          <w:sz w:val="24"/>
          <w:szCs w:val="24"/>
        </w:rPr>
        <w:t>,</w:t>
      </w:r>
      <w:r>
        <w:rPr>
          <w:rFonts w:hint="eastAsia" w:ascii="宋体" w:hAnsi="宋体"/>
          <w:sz w:val="24"/>
          <w:szCs w:val="24"/>
        </w:rPr>
        <w:t>占地</w:t>
      </w:r>
      <w:r>
        <w:rPr>
          <w:rFonts w:ascii="宋体" w:hAnsi="宋体"/>
          <w:sz w:val="24"/>
          <w:szCs w:val="24"/>
        </w:rPr>
        <w:t>75.81</w:t>
      </w:r>
      <w:r>
        <w:rPr>
          <w:rFonts w:hint="eastAsia" w:ascii="宋体" w:hAnsi="宋体"/>
          <w:sz w:val="24"/>
          <w:szCs w:val="24"/>
        </w:rPr>
        <w:t>亩，新校区预计于</w:t>
      </w:r>
      <w:r>
        <w:rPr>
          <w:rFonts w:ascii="宋体" w:hAnsi="宋体"/>
          <w:sz w:val="24"/>
          <w:szCs w:val="24"/>
        </w:rPr>
        <w:t>2021</w:t>
      </w:r>
      <w:r>
        <w:rPr>
          <w:rFonts w:hint="eastAsia" w:ascii="宋体" w:hAnsi="宋体"/>
          <w:sz w:val="24"/>
          <w:szCs w:val="24"/>
        </w:rPr>
        <w:t>年9月建成投入使用，局时将建成30个班，1500个学位。</w:t>
      </w:r>
    </w:p>
    <w:p>
      <w:pPr>
        <w:spacing w:line="400" w:lineRule="exact"/>
        <w:ind w:firstLine="480" w:firstLineChars="200"/>
        <w:rPr>
          <w:rFonts w:ascii="宋体"/>
          <w:sz w:val="24"/>
          <w:szCs w:val="24"/>
        </w:rPr>
      </w:pPr>
      <w:r>
        <w:rPr>
          <w:rFonts w:hint="eastAsia" w:ascii="宋体" w:hAnsi="宋体"/>
          <w:sz w:val="24"/>
          <w:szCs w:val="24"/>
        </w:rPr>
        <w:t>借势海西建设春风，学校正努力朝着理念先进、内涵丰富、质量上乘、特色鲜明的省级一流名校迈进！</w:t>
      </w:r>
      <w:r>
        <w:rPr>
          <w:rFonts w:ascii="宋体" w:hAnsi="宋体"/>
          <w:sz w:val="24"/>
          <w:szCs w:val="24"/>
        </w:rPr>
        <w:t xml:space="preserve"> </w:t>
      </w:r>
    </w:p>
    <w:p>
      <w:pPr>
        <w:spacing w:line="400" w:lineRule="exact"/>
        <w:rPr>
          <w:rFonts w:ascii="宋体"/>
          <w:b/>
          <w:sz w:val="28"/>
          <w:szCs w:val="28"/>
        </w:rPr>
      </w:pPr>
    </w:p>
    <w:p>
      <w:pPr>
        <w:spacing w:line="400" w:lineRule="exact"/>
        <w:ind w:firstLine="408" w:firstLineChars="145"/>
        <w:rPr>
          <w:rFonts w:ascii="宋体"/>
          <w:b/>
          <w:sz w:val="28"/>
          <w:szCs w:val="28"/>
        </w:rPr>
      </w:pPr>
      <w:r>
        <w:rPr>
          <w:rFonts w:ascii="宋体" w:hAnsi="宋体"/>
          <w:b/>
          <w:sz w:val="28"/>
          <w:szCs w:val="28"/>
        </w:rPr>
        <w:t xml:space="preserve">1.2 </w:t>
      </w:r>
      <w:r>
        <w:rPr>
          <w:rFonts w:hint="eastAsia" w:ascii="宋体" w:hAnsi="宋体"/>
          <w:b/>
          <w:sz w:val="28"/>
          <w:szCs w:val="28"/>
        </w:rPr>
        <w:t>学生情况</w:t>
      </w:r>
    </w:p>
    <w:p>
      <w:pPr>
        <w:spacing w:line="400" w:lineRule="exact"/>
        <w:ind w:firstLine="480" w:firstLineChars="200"/>
        <w:rPr>
          <w:rFonts w:ascii="宋体"/>
          <w:sz w:val="24"/>
        </w:rPr>
      </w:pPr>
      <w:r>
        <w:rPr>
          <w:rFonts w:ascii="宋体" w:hAnsi="宋体"/>
          <w:sz w:val="24"/>
          <w:szCs w:val="24"/>
        </w:rPr>
        <w:t>2019-2020</w:t>
      </w:r>
      <w:r>
        <w:rPr>
          <w:rFonts w:hint="eastAsia" w:ascii="宋体" w:hAnsi="宋体"/>
          <w:sz w:val="24"/>
          <w:szCs w:val="24"/>
        </w:rPr>
        <w:t>学年，学校实际招生人数</w:t>
      </w:r>
      <w:r>
        <w:rPr>
          <w:rFonts w:ascii="宋体" w:hAnsi="宋体"/>
          <w:sz w:val="24"/>
          <w:szCs w:val="24"/>
        </w:rPr>
        <w:t>323</w:t>
      </w:r>
      <w:r>
        <w:rPr>
          <w:rFonts w:hint="eastAsia" w:ascii="宋体" w:hAnsi="宋体"/>
          <w:sz w:val="24"/>
          <w:szCs w:val="24"/>
        </w:rPr>
        <w:t>人，在校学生</w:t>
      </w:r>
      <w:r>
        <w:rPr>
          <w:rFonts w:ascii="宋体" w:hAnsi="宋体"/>
          <w:sz w:val="24"/>
          <w:szCs w:val="24"/>
        </w:rPr>
        <w:t>956</w:t>
      </w:r>
      <w:r>
        <w:rPr>
          <w:rFonts w:hint="eastAsia" w:ascii="宋体" w:hAnsi="宋体"/>
          <w:sz w:val="24"/>
          <w:szCs w:val="24"/>
        </w:rPr>
        <w:t>人，</w:t>
      </w:r>
      <w:r>
        <w:rPr>
          <w:rFonts w:ascii="宋体" w:hAnsi="宋体"/>
          <w:sz w:val="24"/>
          <w:szCs w:val="24"/>
        </w:rPr>
        <w:t>2</w:t>
      </w:r>
      <w:r>
        <w:rPr>
          <w:rFonts w:hint="eastAsia" w:ascii="宋体" w:hAnsi="宋体"/>
          <w:sz w:val="24"/>
          <w:szCs w:val="24"/>
        </w:rPr>
        <w:t>4个班，毕业生</w:t>
      </w:r>
      <w:r>
        <w:rPr>
          <w:rFonts w:ascii="宋体" w:hAnsi="宋体"/>
          <w:sz w:val="24"/>
          <w:szCs w:val="24"/>
        </w:rPr>
        <w:t>284</w:t>
      </w:r>
      <w:r>
        <w:rPr>
          <w:rFonts w:hint="eastAsia" w:ascii="宋体" w:hAnsi="宋体"/>
          <w:sz w:val="24"/>
          <w:szCs w:val="24"/>
        </w:rPr>
        <w:t>人，较上一年度办学规模，招生人数、在校生规模大幅上升。</w:t>
      </w:r>
      <w:r>
        <w:rPr>
          <w:rFonts w:hint="eastAsia" w:ascii="宋体" w:hAnsi="宋体"/>
          <w:sz w:val="24"/>
        </w:rPr>
        <w:t>学校目前设置的七类专业中，美术绘画专业为福州市职校重点专业，也是本校品牌主干专业，招生规模占学校招生总数比例</w:t>
      </w:r>
      <w:r>
        <w:rPr>
          <w:rFonts w:ascii="宋体" w:hAnsi="宋体"/>
          <w:sz w:val="24"/>
        </w:rPr>
        <w:t>42%</w:t>
      </w:r>
      <w:r>
        <w:rPr>
          <w:rFonts w:hint="eastAsia" w:ascii="宋体" w:hAnsi="宋体"/>
          <w:sz w:val="24"/>
        </w:rPr>
        <w:t>左右，与区域经济社会发展的同步。民族工艺品制作（民族陶艺）（</w:t>
      </w:r>
      <w:r>
        <w:rPr>
          <w:rFonts w:ascii="宋体" w:hAnsi="宋体"/>
          <w:sz w:val="24"/>
        </w:rPr>
        <w:t>2017</w:t>
      </w:r>
      <w:r>
        <w:rPr>
          <w:rFonts w:hint="eastAsia" w:ascii="宋体" w:hAnsi="宋体"/>
          <w:sz w:val="24"/>
        </w:rPr>
        <w:t>年</w:t>
      </w:r>
      <w:r>
        <w:rPr>
          <w:rFonts w:ascii="宋体" w:hAnsi="宋体"/>
          <w:sz w:val="24"/>
        </w:rPr>
        <w:t>9</w:t>
      </w:r>
      <w:r>
        <w:rPr>
          <w:rFonts w:hint="eastAsia" w:ascii="宋体" w:hAnsi="宋体"/>
          <w:sz w:val="24"/>
        </w:rPr>
        <w:t>月开始招生，已三年）。学前教育（保育员）（</w:t>
      </w:r>
      <w:r>
        <w:rPr>
          <w:rFonts w:ascii="宋体" w:hAnsi="宋体"/>
          <w:sz w:val="24"/>
        </w:rPr>
        <w:t>2019</w:t>
      </w:r>
      <w:r>
        <w:rPr>
          <w:rFonts w:hint="eastAsia" w:ascii="宋体" w:hAnsi="宋体"/>
          <w:sz w:val="24"/>
        </w:rPr>
        <w:t>年</w:t>
      </w:r>
      <w:r>
        <w:rPr>
          <w:rFonts w:ascii="宋体" w:hAnsi="宋体"/>
          <w:sz w:val="24"/>
        </w:rPr>
        <w:t>9</w:t>
      </w:r>
      <w:r>
        <w:rPr>
          <w:rFonts w:hint="eastAsia" w:ascii="宋体" w:hAnsi="宋体"/>
          <w:sz w:val="24"/>
        </w:rPr>
        <w:t>月开始招生，为新设专业）。</w:t>
      </w:r>
    </w:p>
    <w:p>
      <w:pPr>
        <w:spacing w:line="420" w:lineRule="exact"/>
        <w:ind w:firstLine="120" w:firstLineChars="50"/>
        <w:rPr>
          <w:rFonts w:hint="eastAsia" w:ascii="宋体" w:hAnsi="宋体"/>
          <w:sz w:val="24"/>
          <w:szCs w:val="24"/>
        </w:rPr>
      </w:pPr>
    </w:p>
    <w:p>
      <w:pPr>
        <w:spacing w:line="420" w:lineRule="exact"/>
        <w:ind w:firstLine="120" w:firstLineChars="50"/>
        <w:rPr>
          <w:rFonts w:ascii="宋体"/>
          <w:sz w:val="24"/>
          <w:szCs w:val="24"/>
        </w:rPr>
      </w:pPr>
      <w:r>
        <w:rPr>
          <w:rFonts w:hint="eastAsia" w:ascii="宋体" w:hAnsi="宋体"/>
          <w:sz w:val="24"/>
          <w:szCs w:val="24"/>
        </w:rPr>
        <w:t>表</w:t>
      </w:r>
      <w:r>
        <w:rPr>
          <w:rFonts w:ascii="宋体" w:hAnsi="宋体"/>
          <w:sz w:val="24"/>
          <w:szCs w:val="24"/>
        </w:rPr>
        <w:t>1</w:t>
      </w:r>
      <w:r>
        <w:rPr>
          <w:rFonts w:hint="eastAsia" w:ascii="宋体" w:hAnsi="宋体"/>
          <w:sz w:val="24"/>
          <w:szCs w:val="24"/>
        </w:rPr>
        <w:t>：办学规模和结构情况表</w:t>
      </w:r>
    </w:p>
    <w:tbl>
      <w:tblPr>
        <w:tblStyle w:val="7"/>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65"/>
        <w:gridCol w:w="1026"/>
        <w:gridCol w:w="736"/>
        <w:gridCol w:w="736"/>
        <w:gridCol w:w="888"/>
        <w:gridCol w:w="736"/>
        <w:gridCol w:w="736"/>
        <w:gridCol w:w="907"/>
        <w:gridCol w:w="708"/>
        <w:gridCol w:w="8"/>
        <w:gridCol w:w="704"/>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pPr>
              <w:widowControl/>
              <w:spacing w:line="280" w:lineRule="exact"/>
              <w:ind w:left="69" w:leftChars="33"/>
              <w:jc w:val="center"/>
              <w:rPr>
                <w:rFonts w:ascii="宋体" w:cs="宋体"/>
                <w:kern w:val="0"/>
              </w:rPr>
            </w:pPr>
            <w:r>
              <w:rPr>
                <w:rFonts w:hint="eastAsia" w:ascii="宋体" w:hAnsi="宋体" w:cs="宋体"/>
                <w:kern w:val="0"/>
              </w:rPr>
              <w:t>产业类别</w:t>
            </w:r>
          </w:p>
        </w:tc>
        <w:tc>
          <w:tcPr>
            <w:tcW w:w="765" w:type="dxa"/>
            <w:vMerge w:val="restart"/>
            <w:vAlign w:val="center"/>
          </w:tcPr>
          <w:p>
            <w:pPr>
              <w:widowControl/>
              <w:spacing w:line="280" w:lineRule="exact"/>
              <w:jc w:val="center"/>
              <w:rPr>
                <w:rFonts w:ascii="宋体"/>
                <w:kern w:val="0"/>
              </w:rPr>
            </w:pPr>
            <w:r>
              <w:rPr>
                <w:rFonts w:hint="eastAsia" w:ascii="宋体" w:hAnsi="宋体"/>
                <w:kern w:val="0"/>
              </w:rPr>
              <w:t>专业</w:t>
            </w:r>
          </w:p>
          <w:p>
            <w:pPr>
              <w:widowControl/>
              <w:spacing w:line="280" w:lineRule="exact"/>
              <w:jc w:val="center"/>
              <w:rPr>
                <w:rFonts w:ascii="宋体" w:cs="宋体"/>
                <w:kern w:val="0"/>
              </w:rPr>
            </w:pPr>
            <w:r>
              <w:rPr>
                <w:rFonts w:hint="eastAsia" w:ascii="宋体" w:hAnsi="宋体"/>
                <w:kern w:val="0"/>
              </w:rPr>
              <w:t>类别</w:t>
            </w:r>
          </w:p>
        </w:tc>
        <w:tc>
          <w:tcPr>
            <w:tcW w:w="1026" w:type="dxa"/>
            <w:vMerge w:val="restart"/>
            <w:vAlign w:val="center"/>
          </w:tcPr>
          <w:p>
            <w:pPr>
              <w:widowControl/>
              <w:spacing w:line="280" w:lineRule="exact"/>
              <w:jc w:val="center"/>
              <w:rPr>
                <w:rFonts w:ascii="宋体" w:cs="宋体"/>
                <w:kern w:val="0"/>
              </w:rPr>
            </w:pPr>
            <w:r>
              <w:rPr>
                <w:rFonts w:hint="eastAsia" w:ascii="宋体" w:hAnsi="宋体" w:cs="宋体"/>
                <w:kern w:val="0"/>
              </w:rPr>
              <w:t>专业</w:t>
            </w:r>
          </w:p>
          <w:p>
            <w:pPr>
              <w:widowControl/>
              <w:spacing w:line="280" w:lineRule="exact"/>
              <w:jc w:val="center"/>
              <w:rPr>
                <w:rFonts w:ascii="宋体" w:cs="宋体"/>
                <w:kern w:val="0"/>
              </w:rPr>
            </w:pPr>
            <w:r>
              <w:rPr>
                <w:rFonts w:hint="eastAsia" w:ascii="宋体" w:hAnsi="宋体" w:cs="宋体"/>
                <w:kern w:val="0"/>
              </w:rPr>
              <w:t>名称</w:t>
            </w:r>
          </w:p>
        </w:tc>
        <w:tc>
          <w:tcPr>
            <w:tcW w:w="2360" w:type="dxa"/>
            <w:gridSpan w:val="3"/>
            <w:vAlign w:val="center"/>
          </w:tcPr>
          <w:p>
            <w:pPr>
              <w:widowControl/>
              <w:spacing w:line="280" w:lineRule="exact"/>
              <w:jc w:val="center"/>
              <w:rPr>
                <w:rFonts w:ascii="宋体" w:cs="宋体"/>
                <w:kern w:val="0"/>
              </w:rPr>
            </w:pPr>
            <w:r>
              <w:rPr>
                <w:rFonts w:hint="eastAsia" w:ascii="宋体" w:hAnsi="宋体" w:cs="宋体"/>
                <w:kern w:val="0"/>
              </w:rPr>
              <w:t>专业招生数</w:t>
            </w:r>
          </w:p>
        </w:tc>
        <w:tc>
          <w:tcPr>
            <w:tcW w:w="2379" w:type="dxa"/>
            <w:gridSpan w:val="3"/>
            <w:vAlign w:val="center"/>
          </w:tcPr>
          <w:p>
            <w:pPr>
              <w:widowControl/>
              <w:spacing w:line="280" w:lineRule="exact"/>
              <w:jc w:val="center"/>
              <w:rPr>
                <w:rFonts w:ascii="宋体" w:cs="宋体"/>
                <w:kern w:val="0"/>
              </w:rPr>
            </w:pPr>
            <w:r>
              <w:rPr>
                <w:rFonts w:hint="eastAsia" w:ascii="宋体" w:hAnsi="宋体" w:cs="宋体"/>
                <w:kern w:val="0"/>
              </w:rPr>
              <w:t>在校生数</w:t>
            </w:r>
          </w:p>
        </w:tc>
        <w:tc>
          <w:tcPr>
            <w:tcW w:w="2339" w:type="dxa"/>
            <w:gridSpan w:val="4"/>
            <w:vAlign w:val="center"/>
          </w:tcPr>
          <w:p>
            <w:pPr>
              <w:widowControl/>
              <w:spacing w:line="280" w:lineRule="exact"/>
              <w:jc w:val="center"/>
              <w:rPr>
                <w:rFonts w:ascii="宋体" w:cs="宋体"/>
                <w:kern w:val="0"/>
              </w:rPr>
            </w:pPr>
            <w:r>
              <w:rPr>
                <w:rFonts w:hint="eastAsia" w:ascii="宋体" w:hAnsi="宋体" w:cs="宋体"/>
                <w:kern w:val="0"/>
              </w:rPr>
              <w:t>巩固率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widowControl/>
              <w:spacing w:line="280" w:lineRule="exact"/>
              <w:ind w:left="69" w:leftChars="33"/>
              <w:jc w:val="center"/>
              <w:rPr>
                <w:rFonts w:ascii="宋体" w:cs="宋体"/>
                <w:kern w:val="0"/>
              </w:rPr>
            </w:pPr>
          </w:p>
        </w:tc>
        <w:tc>
          <w:tcPr>
            <w:tcW w:w="765" w:type="dxa"/>
            <w:vMerge w:val="continue"/>
            <w:vAlign w:val="center"/>
          </w:tcPr>
          <w:p>
            <w:pPr>
              <w:widowControl/>
              <w:spacing w:line="280" w:lineRule="exact"/>
              <w:jc w:val="center"/>
              <w:rPr>
                <w:rFonts w:ascii="宋体"/>
                <w:kern w:val="0"/>
              </w:rPr>
            </w:pPr>
          </w:p>
        </w:tc>
        <w:tc>
          <w:tcPr>
            <w:tcW w:w="1026" w:type="dxa"/>
            <w:vMerge w:val="continue"/>
            <w:vAlign w:val="center"/>
          </w:tcPr>
          <w:p>
            <w:pPr>
              <w:widowControl/>
              <w:spacing w:line="280" w:lineRule="exact"/>
              <w:jc w:val="center"/>
              <w:rPr>
                <w:rFonts w:ascii="宋体" w:cs="宋体"/>
                <w:kern w:val="0"/>
              </w:rPr>
            </w:pPr>
          </w:p>
        </w:tc>
        <w:tc>
          <w:tcPr>
            <w:tcW w:w="736" w:type="dxa"/>
            <w:vAlign w:val="center"/>
          </w:tcPr>
          <w:p>
            <w:pPr>
              <w:widowControl/>
              <w:spacing w:line="280" w:lineRule="exact"/>
              <w:jc w:val="center"/>
              <w:rPr>
                <w:rFonts w:ascii="宋体" w:cs="宋体"/>
                <w:kern w:val="0"/>
              </w:rPr>
            </w:pPr>
            <w:r>
              <w:rPr>
                <w:rFonts w:ascii="宋体" w:hAnsi="宋体" w:cs="宋体"/>
                <w:kern w:val="0"/>
              </w:rPr>
              <w:t>201</w:t>
            </w:r>
            <w:r>
              <w:rPr>
                <w:rFonts w:hint="eastAsia" w:ascii="宋体" w:hAnsi="宋体" w:cs="宋体"/>
                <w:kern w:val="0"/>
              </w:rPr>
              <w:t>8</w:t>
            </w:r>
            <w:r>
              <w:rPr>
                <w:rFonts w:ascii="宋体" w:hAnsi="宋体" w:cs="宋体"/>
                <w:kern w:val="0"/>
              </w:rPr>
              <w:t>-</w:t>
            </w:r>
          </w:p>
          <w:p>
            <w:pPr>
              <w:widowControl/>
              <w:spacing w:line="280" w:lineRule="exact"/>
              <w:jc w:val="center"/>
              <w:rPr>
                <w:rFonts w:ascii="宋体" w:cs="宋体"/>
                <w:kern w:val="0"/>
              </w:rPr>
            </w:pPr>
            <w:r>
              <w:rPr>
                <w:rFonts w:ascii="宋体" w:hAnsi="宋体" w:cs="宋体"/>
                <w:kern w:val="0"/>
              </w:rPr>
              <w:t>201</w:t>
            </w:r>
            <w:r>
              <w:rPr>
                <w:rFonts w:hint="eastAsia" w:ascii="宋体" w:hAnsi="宋体" w:cs="宋体"/>
                <w:kern w:val="0"/>
              </w:rPr>
              <w:t>9</w:t>
            </w:r>
            <w:r>
              <w:rPr>
                <w:rFonts w:hint="eastAsia" w:ascii="宋体" w:hAnsi="宋体"/>
              </w:rPr>
              <w:t>学年</w:t>
            </w:r>
            <w:r>
              <w:rPr>
                <w:rFonts w:ascii="宋体" w:hAnsi="宋体"/>
              </w:rPr>
              <w:t>(</w:t>
            </w:r>
            <w:r>
              <w:rPr>
                <w:rFonts w:hint="eastAsia" w:ascii="宋体" w:hAnsi="宋体"/>
              </w:rPr>
              <w:t>人</w:t>
            </w:r>
            <w:r>
              <w:rPr>
                <w:rFonts w:ascii="宋体" w:hAnsi="宋体"/>
              </w:rPr>
              <w:t>)</w:t>
            </w:r>
          </w:p>
        </w:tc>
        <w:tc>
          <w:tcPr>
            <w:tcW w:w="736" w:type="dxa"/>
            <w:vAlign w:val="center"/>
          </w:tcPr>
          <w:p>
            <w:pPr>
              <w:widowControl/>
              <w:spacing w:line="280" w:lineRule="exact"/>
              <w:jc w:val="center"/>
              <w:rPr>
                <w:rFonts w:ascii="宋体" w:cs="宋体"/>
                <w:kern w:val="0"/>
              </w:rPr>
            </w:pPr>
            <w:r>
              <w:rPr>
                <w:rFonts w:ascii="宋体" w:hAnsi="宋体" w:cs="宋体"/>
                <w:kern w:val="0"/>
              </w:rPr>
              <w:t>201</w:t>
            </w:r>
            <w:r>
              <w:rPr>
                <w:rFonts w:hint="eastAsia" w:ascii="宋体" w:hAnsi="宋体" w:cs="宋体"/>
                <w:kern w:val="0"/>
              </w:rPr>
              <w:t>9</w:t>
            </w:r>
            <w:r>
              <w:rPr>
                <w:rFonts w:ascii="宋体" w:hAnsi="宋体" w:cs="宋体"/>
                <w:kern w:val="0"/>
              </w:rPr>
              <w:t>-</w:t>
            </w:r>
          </w:p>
          <w:p>
            <w:pPr>
              <w:widowControl/>
              <w:spacing w:line="280" w:lineRule="exact"/>
              <w:jc w:val="center"/>
              <w:rPr>
                <w:rFonts w:ascii="宋体" w:cs="宋体"/>
                <w:kern w:val="0"/>
              </w:rPr>
            </w:pPr>
            <w:r>
              <w:rPr>
                <w:rFonts w:ascii="宋体" w:hAnsi="宋体" w:cs="宋体"/>
                <w:kern w:val="0"/>
              </w:rPr>
              <w:t>20</w:t>
            </w:r>
            <w:r>
              <w:rPr>
                <w:rFonts w:hint="eastAsia" w:ascii="宋体" w:hAnsi="宋体" w:cs="宋体"/>
                <w:kern w:val="0"/>
              </w:rPr>
              <w:t>20</w:t>
            </w:r>
            <w:r>
              <w:rPr>
                <w:rFonts w:hint="eastAsia" w:ascii="宋体" w:hAnsi="宋体"/>
              </w:rPr>
              <w:t>学年</w:t>
            </w:r>
            <w:r>
              <w:rPr>
                <w:rFonts w:ascii="宋体" w:hAnsi="宋体"/>
              </w:rPr>
              <w:t>(</w:t>
            </w:r>
            <w:r>
              <w:rPr>
                <w:rFonts w:hint="eastAsia" w:ascii="宋体" w:hAnsi="宋体"/>
              </w:rPr>
              <w:t>人</w:t>
            </w:r>
            <w:r>
              <w:rPr>
                <w:rFonts w:ascii="宋体" w:hAnsi="宋体"/>
              </w:rPr>
              <w:t>)</w:t>
            </w:r>
          </w:p>
        </w:tc>
        <w:tc>
          <w:tcPr>
            <w:tcW w:w="888" w:type="dxa"/>
            <w:vAlign w:val="center"/>
          </w:tcPr>
          <w:p>
            <w:pPr>
              <w:widowControl/>
              <w:spacing w:line="280" w:lineRule="exact"/>
              <w:jc w:val="center"/>
              <w:rPr>
                <w:rFonts w:ascii="宋体" w:cs="宋体"/>
                <w:kern w:val="0"/>
              </w:rPr>
            </w:pPr>
            <w:r>
              <w:rPr>
                <w:rFonts w:hint="eastAsia" w:ascii="宋体" w:hAnsi="宋体" w:cs="宋体"/>
                <w:kern w:val="0"/>
              </w:rPr>
              <w:t>比增</w:t>
            </w:r>
            <w:r>
              <w:rPr>
                <w:rFonts w:hint="eastAsia" w:ascii="宋体" w:hAnsi="宋体"/>
              </w:rPr>
              <w:t>（</w:t>
            </w:r>
            <w:r>
              <w:rPr>
                <w:rFonts w:ascii="宋体" w:hAnsi="宋体"/>
              </w:rPr>
              <w:t>%</w:t>
            </w:r>
            <w:r>
              <w:rPr>
                <w:rFonts w:hint="eastAsia" w:ascii="宋体" w:hAnsi="宋体"/>
              </w:rPr>
              <w:t>）</w:t>
            </w:r>
          </w:p>
        </w:tc>
        <w:tc>
          <w:tcPr>
            <w:tcW w:w="736" w:type="dxa"/>
            <w:vAlign w:val="center"/>
          </w:tcPr>
          <w:p>
            <w:pPr>
              <w:widowControl/>
              <w:spacing w:line="280" w:lineRule="exact"/>
              <w:jc w:val="center"/>
              <w:rPr>
                <w:rFonts w:ascii="宋体" w:cs="宋体"/>
                <w:kern w:val="0"/>
              </w:rPr>
            </w:pPr>
            <w:r>
              <w:rPr>
                <w:rFonts w:ascii="宋体" w:hAnsi="宋体" w:cs="宋体"/>
                <w:kern w:val="0"/>
              </w:rPr>
              <w:t>20</w:t>
            </w:r>
            <w:r>
              <w:rPr>
                <w:rFonts w:hint="eastAsia" w:ascii="宋体" w:hAnsi="宋体" w:cs="宋体"/>
                <w:kern w:val="0"/>
              </w:rPr>
              <w:t>18</w:t>
            </w:r>
            <w:r>
              <w:rPr>
                <w:rFonts w:ascii="宋体" w:hAnsi="宋体" w:cs="宋体"/>
                <w:kern w:val="0"/>
              </w:rPr>
              <w:t>-</w:t>
            </w:r>
          </w:p>
          <w:p>
            <w:pPr>
              <w:widowControl/>
              <w:spacing w:line="280" w:lineRule="exact"/>
              <w:jc w:val="center"/>
              <w:rPr>
                <w:rFonts w:ascii="宋体" w:cs="宋体"/>
                <w:kern w:val="0"/>
              </w:rPr>
            </w:pPr>
            <w:r>
              <w:rPr>
                <w:rFonts w:ascii="宋体" w:hAnsi="宋体" w:cs="宋体"/>
                <w:kern w:val="0"/>
              </w:rPr>
              <w:t>20</w:t>
            </w:r>
            <w:r>
              <w:rPr>
                <w:rFonts w:hint="eastAsia" w:ascii="宋体" w:hAnsi="宋体" w:cs="宋体"/>
                <w:kern w:val="0"/>
              </w:rPr>
              <w:t>19</w:t>
            </w:r>
            <w:r>
              <w:rPr>
                <w:rFonts w:hint="eastAsia" w:ascii="宋体" w:hAnsi="宋体"/>
              </w:rPr>
              <w:t>学年</w:t>
            </w:r>
            <w:r>
              <w:rPr>
                <w:rFonts w:ascii="宋体" w:hAnsi="宋体"/>
              </w:rPr>
              <w:t>(</w:t>
            </w:r>
            <w:r>
              <w:rPr>
                <w:rFonts w:hint="eastAsia" w:ascii="宋体" w:hAnsi="宋体"/>
              </w:rPr>
              <w:t>人</w:t>
            </w:r>
            <w:r>
              <w:rPr>
                <w:rFonts w:ascii="宋体" w:hAnsi="宋体"/>
              </w:rPr>
              <w:t>)</w:t>
            </w:r>
          </w:p>
        </w:tc>
        <w:tc>
          <w:tcPr>
            <w:tcW w:w="736" w:type="dxa"/>
            <w:vAlign w:val="center"/>
          </w:tcPr>
          <w:p>
            <w:pPr>
              <w:widowControl/>
              <w:spacing w:line="280" w:lineRule="exact"/>
              <w:jc w:val="center"/>
              <w:rPr>
                <w:rFonts w:ascii="宋体" w:cs="宋体"/>
                <w:kern w:val="0"/>
              </w:rPr>
            </w:pPr>
            <w:r>
              <w:rPr>
                <w:rFonts w:ascii="宋体" w:hAnsi="宋体" w:cs="宋体"/>
                <w:kern w:val="0"/>
              </w:rPr>
              <w:t>20</w:t>
            </w:r>
            <w:r>
              <w:rPr>
                <w:rFonts w:hint="eastAsia" w:ascii="宋体" w:hAnsi="宋体" w:cs="宋体"/>
                <w:kern w:val="0"/>
              </w:rPr>
              <w:t>19</w:t>
            </w:r>
            <w:r>
              <w:rPr>
                <w:rFonts w:ascii="宋体" w:hAnsi="宋体" w:cs="宋体"/>
                <w:kern w:val="0"/>
              </w:rPr>
              <w:t>-</w:t>
            </w:r>
          </w:p>
          <w:p>
            <w:pPr>
              <w:widowControl/>
              <w:spacing w:line="280" w:lineRule="exact"/>
              <w:jc w:val="center"/>
              <w:rPr>
                <w:rFonts w:ascii="宋体" w:cs="宋体"/>
                <w:kern w:val="0"/>
              </w:rPr>
            </w:pPr>
            <w:r>
              <w:rPr>
                <w:rFonts w:ascii="宋体" w:hAnsi="宋体" w:cs="宋体"/>
                <w:kern w:val="0"/>
              </w:rPr>
              <w:t>20</w:t>
            </w:r>
            <w:r>
              <w:rPr>
                <w:rFonts w:hint="eastAsia" w:ascii="宋体" w:hAnsi="宋体" w:cs="宋体"/>
                <w:kern w:val="0"/>
              </w:rPr>
              <w:t>20</w:t>
            </w:r>
            <w:r>
              <w:rPr>
                <w:rFonts w:hint="eastAsia" w:ascii="宋体" w:hAnsi="宋体"/>
              </w:rPr>
              <w:t>学年</w:t>
            </w:r>
            <w:r>
              <w:rPr>
                <w:rFonts w:ascii="宋体" w:hAnsi="宋体"/>
              </w:rPr>
              <w:t>(</w:t>
            </w:r>
            <w:r>
              <w:rPr>
                <w:rFonts w:hint="eastAsia" w:ascii="宋体" w:hAnsi="宋体"/>
              </w:rPr>
              <w:t>人</w:t>
            </w:r>
            <w:r>
              <w:rPr>
                <w:rFonts w:ascii="宋体" w:hAnsi="宋体"/>
              </w:rPr>
              <w:t>)</w:t>
            </w:r>
          </w:p>
        </w:tc>
        <w:tc>
          <w:tcPr>
            <w:tcW w:w="907" w:type="dxa"/>
            <w:vAlign w:val="center"/>
          </w:tcPr>
          <w:p>
            <w:pPr>
              <w:widowControl/>
              <w:spacing w:line="280" w:lineRule="exact"/>
              <w:jc w:val="center"/>
              <w:rPr>
                <w:rFonts w:ascii="宋体" w:cs="宋体"/>
                <w:kern w:val="0"/>
              </w:rPr>
            </w:pPr>
            <w:r>
              <w:rPr>
                <w:rFonts w:hint="eastAsia" w:ascii="宋体" w:hAnsi="宋体" w:cs="宋体"/>
                <w:kern w:val="0"/>
              </w:rPr>
              <w:t>比增</w:t>
            </w:r>
            <w:r>
              <w:rPr>
                <w:rFonts w:hint="eastAsia" w:ascii="宋体" w:hAnsi="宋体"/>
              </w:rPr>
              <w:t>（</w:t>
            </w:r>
            <w:r>
              <w:rPr>
                <w:rFonts w:ascii="宋体" w:hAnsi="宋体"/>
              </w:rPr>
              <w:t>%</w:t>
            </w:r>
            <w:r>
              <w:rPr>
                <w:rFonts w:hint="eastAsia" w:ascii="宋体" w:hAnsi="宋体"/>
              </w:rPr>
              <w:t>）</w:t>
            </w:r>
          </w:p>
        </w:tc>
        <w:tc>
          <w:tcPr>
            <w:tcW w:w="708" w:type="dxa"/>
            <w:vAlign w:val="center"/>
          </w:tcPr>
          <w:p>
            <w:pPr>
              <w:widowControl/>
              <w:spacing w:line="280" w:lineRule="exact"/>
              <w:jc w:val="center"/>
              <w:rPr>
                <w:rFonts w:ascii="宋体" w:cs="宋体"/>
                <w:kern w:val="0"/>
              </w:rPr>
            </w:pPr>
            <w:r>
              <w:rPr>
                <w:rFonts w:ascii="宋体" w:hAnsi="宋体" w:cs="宋体"/>
                <w:kern w:val="0"/>
              </w:rPr>
              <w:t>20</w:t>
            </w:r>
            <w:r>
              <w:rPr>
                <w:rFonts w:hint="eastAsia" w:ascii="宋体" w:hAnsi="宋体" w:cs="宋体"/>
                <w:kern w:val="0"/>
              </w:rPr>
              <w:t>18</w:t>
            </w:r>
            <w:r>
              <w:rPr>
                <w:rFonts w:ascii="宋体" w:hAnsi="宋体" w:cs="宋体"/>
                <w:kern w:val="0"/>
              </w:rPr>
              <w:t>-</w:t>
            </w:r>
          </w:p>
          <w:p>
            <w:pPr>
              <w:widowControl/>
              <w:spacing w:line="280" w:lineRule="exact"/>
              <w:jc w:val="center"/>
              <w:rPr>
                <w:rFonts w:ascii="宋体" w:cs="宋体"/>
                <w:kern w:val="0"/>
              </w:rPr>
            </w:pPr>
            <w:r>
              <w:rPr>
                <w:rFonts w:ascii="宋体" w:hAnsi="宋体" w:cs="宋体"/>
                <w:kern w:val="0"/>
              </w:rPr>
              <w:t>201</w:t>
            </w:r>
            <w:r>
              <w:rPr>
                <w:rFonts w:hint="eastAsia" w:ascii="宋体" w:hAnsi="宋体" w:cs="宋体"/>
                <w:kern w:val="0"/>
              </w:rPr>
              <w:t>9</w:t>
            </w:r>
            <w:r>
              <w:rPr>
                <w:rFonts w:hint="eastAsia" w:ascii="宋体" w:hAnsi="宋体"/>
              </w:rPr>
              <w:t>学年（</w:t>
            </w:r>
            <w:r>
              <w:rPr>
                <w:rFonts w:ascii="宋体" w:hAnsi="宋体"/>
              </w:rPr>
              <w:t>%</w:t>
            </w:r>
            <w:r>
              <w:rPr>
                <w:rFonts w:hint="eastAsia" w:ascii="宋体" w:hAnsi="宋体"/>
              </w:rPr>
              <w:t>）</w:t>
            </w:r>
          </w:p>
        </w:tc>
        <w:tc>
          <w:tcPr>
            <w:tcW w:w="712" w:type="dxa"/>
            <w:gridSpan w:val="2"/>
            <w:vAlign w:val="center"/>
          </w:tcPr>
          <w:p>
            <w:pPr>
              <w:widowControl/>
              <w:spacing w:line="280" w:lineRule="exact"/>
              <w:jc w:val="center"/>
              <w:rPr>
                <w:rFonts w:ascii="宋体" w:cs="宋体"/>
                <w:kern w:val="0"/>
              </w:rPr>
            </w:pPr>
            <w:r>
              <w:rPr>
                <w:rFonts w:ascii="宋体" w:hAnsi="宋体" w:cs="宋体"/>
                <w:kern w:val="0"/>
              </w:rPr>
              <w:t>201</w:t>
            </w:r>
            <w:r>
              <w:rPr>
                <w:rFonts w:hint="eastAsia" w:ascii="宋体" w:hAnsi="宋体" w:cs="宋体"/>
                <w:kern w:val="0"/>
              </w:rPr>
              <w:t>9</w:t>
            </w:r>
            <w:r>
              <w:rPr>
                <w:rFonts w:ascii="宋体" w:hAnsi="宋体" w:cs="宋体"/>
                <w:kern w:val="0"/>
              </w:rPr>
              <w:t>-</w:t>
            </w:r>
          </w:p>
          <w:p>
            <w:pPr>
              <w:widowControl/>
              <w:spacing w:line="280" w:lineRule="exact"/>
              <w:jc w:val="center"/>
              <w:rPr>
                <w:rFonts w:ascii="宋体" w:cs="宋体"/>
                <w:kern w:val="0"/>
              </w:rPr>
            </w:pPr>
            <w:r>
              <w:rPr>
                <w:rFonts w:ascii="宋体" w:hAnsi="宋体" w:cs="宋体"/>
                <w:kern w:val="0"/>
              </w:rPr>
              <w:t>20</w:t>
            </w:r>
            <w:r>
              <w:rPr>
                <w:rFonts w:hint="eastAsia" w:ascii="宋体" w:hAnsi="宋体" w:cs="宋体"/>
                <w:kern w:val="0"/>
              </w:rPr>
              <w:t>20</w:t>
            </w:r>
            <w:r>
              <w:rPr>
                <w:rFonts w:hint="eastAsia" w:ascii="宋体" w:hAnsi="宋体"/>
              </w:rPr>
              <w:t>学年（</w:t>
            </w:r>
            <w:r>
              <w:rPr>
                <w:rFonts w:ascii="宋体" w:hAnsi="宋体"/>
              </w:rPr>
              <w:t>%</w:t>
            </w:r>
            <w:r>
              <w:rPr>
                <w:rFonts w:hint="eastAsia" w:ascii="宋体" w:hAnsi="宋体"/>
              </w:rPr>
              <w:t>）</w:t>
            </w:r>
          </w:p>
        </w:tc>
        <w:tc>
          <w:tcPr>
            <w:tcW w:w="919" w:type="dxa"/>
            <w:vAlign w:val="center"/>
          </w:tcPr>
          <w:p>
            <w:pPr>
              <w:widowControl/>
              <w:spacing w:line="280" w:lineRule="exact"/>
              <w:jc w:val="center"/>
              <w:rPr>
                <w:rFonts w:ascii="宋体" w:cs="宋体"/>
                <w:kern w:val="0"/>
              </w:rPr>
            </w:pPr>
            <w:r>
              <w:rPr>
                <w:rFonts w:hint="eastAsia" w:ascii="宋体" w:hAnsi="宋体" w:cs="宋体"/>
                <w:kern w:val="0"/>
              </w:rPr>
              <w:t>比增</w:t>
            </w:r>
            <w:r>
              <w:rPr>
                <w:rFonts w:hint="eastAsia" w:ascii="宋体" w:hAnsi="宋体"/>
              </w:rPr>
              <w:t>（</w:t>
            </w:r>
            <w:r>
              <w:rPr>
                <w:rFonts w:ascii="宋体" w:hAnsi="宋体"/>
              </w:rPr>
              <w:t>%</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restart"/>
            <w:vAlign w:val="center"/>
          </w:tcPr>
          <w:p>
            <w:pPr>
              <w:widowControl/>
              <w:spacing w:line="280" w:lineRule="exact"/>
              <w:ind w:left="69" w:leftChars="33"/>
              <w:jc w:val="center"/>
              <w:rPr>
                <w:rFonts w:ascii="宋体" w:cs="宋体"/>
                <w:kern w:val="0"/>
              </w:rPr>
            </w:pPr>
            <w:r>
              <w:rPr>
                <w:rFonts w:hint="eastAsia" w:ascii="宋体" w:hAnsi="宋体" w:cs="宋体"/>
                <w:kern w:val="0"/>
              </w:rPr>
              <w:t>第三产业</w:t>
            </w:r>
          </w:p>
        </w:tc>
        <w:tc>
          <w:tcPr>
            <w:tcW w:w="765" w:type="dxa"/>
            <w:vMerge w:val="restart"/>
            <w:vAlign w:val="center"/>
          </w:tcPr>
          <w:p>
            <w:pPr>
              <w:widowControl/>
              <w:spacing w:line="280" w:lineRule="exact"/>
              <w:jc w:val="center"/>
              <w:rPr>
                <w:rFonts w:ascii="宋体"/>
              </w:rPr>
            </w:pPr>
            <w:r>
              <w:rPr>
                <w:rFonts w:hint="eastAsia" w:ascii="宋体" w:hAnsi="宋体"/>
                <w:kern w:val="0"/>
              </w:rPr>
              <w:t>教育</w:t>
            </w:r>
          </w:p>
        </w:tc>
        <w:tc>
          <w:tcPr>
            <w:tcW w:w="1026" w:type="dxa"/>
            <w:vAlign w:val="center"/>
          </w:tcPr>
          <w:p>
            <w:pPr>
              <w:widowControl/>
              <w:spacing w:line="280" w:lineRule="exact"/>
              <w:jc w:val="center"/>
              <w:rPr>
                <w:rFonts w:ascii="宋体" w:cs="宋体"/>
                <w:kern w:val="0"/>
              </w:rPr>
            </w:pPr>
            <w:r>
              <w:rPr>
                <w:rFonts w:hint="eastAsia" w:ascii="宋体" w:hAnsi="宋体" w:cs="宋体"/>
                <w:kern w:val="0"/>
              </w:rPr>
              <w:t>学前</w:t>
            </w:r>
          </w:p>
          <w:p>
            <w:pPr>
              <w:widowControl/>
              <w:spacing w:line="280" w:lineRule="exact"/>
              <w:jc w:val="center"/>
              <w:rPr>
                <w:rFonts w:ascii="宋体" w:cs="宋体"/>
                <w:kern w:val="0"/>
              </w:rPr>
            </w:pPr>
            <w:r>
              <w:rPr>
                <w:rFonts w:hint="eastAsia" w:ascii="宋体" w:hAnsi="宋体" w:cs="宋体"/>
                <w:kern w:val="0"/>
              </w:rPr>
              <w:t>教育</w:t>
            </w:r>
          </w:p>
        </w:tc>
        <w:tc>
          <w:tcPr>
            <w:tcW w:w="736" w:type="dxa"/>
            <w:vAlign w:val="center"/>
          </w:tcPr>
          <w:p>
            <w:pPr>
              <w:spacing w:line="280" w:lineRule="exact"/>
              <w:jc w:val="center"/>
              <w:rPr>
                <w:rFonts w:ascii="宋体" w:cs="宋体"/>
                <w:kern w:val="0"/>
              </w:rPr>
            </w:pPr>
            <w:r>
              <w:rPr>
                <w:rFonts w:hint="eastAsia" w:ascii="宋体" w:hAnsi="宋体" w:cs="宋体"/>
                <w:kern w:val="0"/>
              </w:rPr>
              <w:t>54</w:t>
            </w:r>
          </w:p>
        </w:tc>
        <w:tc>
          <w:tcPr>
            <w:tcW w:w="736" w:type="dxa"/>
            <w:vAlign w:val="center"/>
          </w:tcPr>
          <w:p>
            <w:pPr>
              <w:spacing w:line="280" w:lineRule="exact"/>
              <w:jc w:val="center"/>
              <w:rPr>
                <w:rFonts w:ascii="宋体" w:cs="宋体"/>
                <w:kern w:val="0"/>
              </w:rPr>
            </w:pPr>
          </w:p>
        </w:tc>
        <w:tc>
          <w:tcPr>
            <w:tcW w:w="888" w:type="dxa"/>
            <w:vAlign w:val="center"/>
          </w:tcPr>
          <w:p>
            <w:pPr>
              <w:spacing w:line="280" w:lineRule="exact"/>
              <w:jc w:val="center"/>
              <w:rPr>
                <w:rFonts w:ascii="宋体" w:cs="宋体"/>
                <w:kern w:val="0"/>
              </w:rPr>
            </w:pPr>
            <w:r>
              <w:rPr>
                <w:rFonts w:hint="eastAsia" w:ascii="宋体" w:hAnsi="宋体" w:cs="宋体"/>
                <w:kern w:val="0"/>
              </w:rPr>
              <w:t>-100</w:t>
            </w:r>
            <w:r>
              <w:rPr>
                <w:rFonts w:ascii="宋体" w:hAnsi="宋体" w:cs="宋体"/>
                <w:kern w:val="0"/>
              </w:rPr>
              <w:t>%</w:t>
            </w:r>
          </w:p>
        </w:tc>
        <w:tc>
          <w:tcPr>
            <w:tcW w:w="736" w:type="dxa"/>
            <w:vAlign w:val="center"/>
          </w:tcPr>
          <w:p>
            <w:pPr>
              <w:spacing w:line="280" w:lineRule="exact"/>
              <w:jc w:val="center"/>
              <w:rPr>
                <w:rFonts w:ascii="宋体" w:cs="宋体"/>
                <w:kern w:val="0"/>
              </w:rPr>
            </w:pPr>
            <w:r>
              <w:rPr>
                <w:rFonts w:hint="eastAsia" w:ascii="宋体" w:hAnsi="宋体" w:cs="宋体"/>
                <w:kern w:val="0"/>
              </w:rPr>
              <w:t>119</w:t>
            </w:r>
          </w:p>
        </w:tc>
        <w:tc>
          <w:tcPr>
            <w:tcW w:w="736" w:type="dxa"/>
            <w:vAlign w:val="center"/>
          </w:tcPr>
          <w:p>
            <w:pPr>
              <w:spacing w:line="280" w:lineRule="exact"/>
              <w:jc w:val="center"/>
              <w:rPr>
                <w:rFonts w:ascii="宋体" w:cs="宋体"/>
                <w:kern w:val="0"/>
              </w:rPr>
            </w:pPr>
            <w:r>
              <w:rPr>
                <w:rFonts w:hint="eastAsia" w:ascii="宋体" w:hAnsi="宋体" w:cs="宋体"/>
                <w:kern w:val="0"/>
              </w:rPr>
              <w:t>81</w:t>
            </w:r>
          </w:p>
        </w:tc>
        <w:tc>
          <w:tcPr>
            <w:tcW w:w="907" w:type="dxa"/>
            <w:vAlign w:val="center"/>
          </w:tcPr>
          <w:p>
            <w:pPr>
              <w:spacing w:line="280" w:lineRule="exact"/>
              <w:jc w:val="center"/>
              <w:rPr>
                <w:rFonts w:ascii="宋体" w:cs="宋体"/>
                <w:kern w:val="0"/>
              </w:rPr>
            </w:pPr>
            <w:r>
              <w:rPr>
                <w:rFonts w:hint="eastAsia" w:ascii="宋体" w:hAnsi="宋体" w:cs="宋体"/>
                <w:kern w:val="0"/>
              </w:rPr>
              <w:t>-31.9</w:t>
            </w:r>
            <w:r>
              <w:rPr>
                <w:rFonts w:ascii="宋体" w:hAnsi="宋体" w:cs="宋体"/>
                <w:kern w:val="0"/>
              </w:rPr>
              <w:t>%</w:t>
            </w:r>
          </w:p>
        </w:tc>
        <w:tc>
          <w:tcPr>
            <w:tcW w:w="708" w:type="dxa"/>
            <w:vAlign w:val="center"/>
          </w:tcPr>
          <w:p>
            <w:pPr>
              <w:spacing w:line="280" w:lineRule="exact"/>
              <w:jc w:val="center"/>
              <w:rPr>
                <w:rFonts w:ascii="宋体" w:cs="宋体"/>
                <w:kern w:val="0"/>
              </w:rPr>
            </w:pPr>
            <w:r>
              <w:rPr>
                <w:rFonts w:hint="eastAsia" w:ascii="宋体" w:cs="宋体"/>
                <w:kern w:val="0"/>
              </w:rPr>
              <w:t>95.8%</w:t>
            </w:r>
          </w:p>
        </w:tc>
        <w:tc>
          <w:tcPr>
            <w:tcW w:w="712" w:type="dxa"/>
            <w:gridSpan w:val="2"/>
            <w:vAlign w:val="center"/>
          </w:tcPr>
          <w:p>
            <w:pPr>
              <w:spacing w:line="280" w:lineRule="exact"/>
              <w:jc w:val="center"/>
              <w:rPr>
                <w:rFonts w:ascii="宋体" w:cs="宋体"/>
                <w:kern w:val="0"/>
              </w:rPr>
            </w:pPr>
            <w:r>
              <w:rPr>
                <w:rFonts w:hint="eastAsia" w:ascii="宋体" w:cs="宋体"/>
                <w:kern w:val="0"/>
              </w:rPr>
              <w:t>97.5%</w:t>
            </w:r>
          </w:p>
        </w:tc>
        <w:tc>
          <w:tcPr>
            <w:tcW w:w="919" w:type="dxa"/>
            <w:vAlign w:val="center"/>
          </w:tcPr>
          <w:p>
            <w:pPr>
              <w:spacing w:line="280" w:lineRule="exact"/>
              <w:jc w:val="center"/>
              <w:rPr>
                <w:rFonts w:ascii="宋体" w:cs="宋体"/>
                <w:kern w:val="0"/>
              </w:rPr>
            </w:pPr>
            <w:r>
              <w:rPr>
                <w:rFonts w:hint="eastAsia" w:ascii="宋体" w:cs="宋体"/>
                <w:kern w:val="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20" w:type="dxa"/>
            <w:vMerge w:val="continue"/>
            <w:vAlign w:val="center"/>
          </w:tcPr>
          <w:p>
            <w:pPr>
              <w:widowControl/>
              <w:spacing w:line="280" w:lineRule="exact"/>
              <w:ind w:left="69" w:leftChars="33"/>
              <w:jc w:val="center"/>
              <w:rPr>
                <w:rFonts w:ascii="宋体" w:cs="宋体"/>
                <w:kern w:val="0"/>
              </w:rPr>
            </w:pPr>
          </w:p>
        </w:tc>
        <w:tc>
          <w:tcPr>
            <w:tcW w:w="765" w:type="dxa"/>
            <w:vMerge w:val="continue"/>
            <w:vAlign w:val="center"/>
          </w:tcPr>
          <w:p>
            <w:pPr>
              <w:widowControl/>
              <w:spacing w:line="280" w:lineRule="exact"/>
              <w:jc w:val="center"/>
              <w:rPr>
                <w:rFonts w:ascii="宋体"/>
                <w:kern w:val="0"/>
              </w:rPr>
            </w:pPr>
          </w:p>
        </w:tc>
        <w:tc>
          <w:tcPr>
            <w:tcW w:w="1026" w:type="dxa"/>
            <w:vAlign w:val="center"/>
          </w:tcPr>
          <w:p>
            <w:pPr>
              <w:widowControl/>
              <w:spacing w:line="280" w:lineRule="exact"/>
              <w:jc w:val="center"/>
              <w:rPr>
                <w:rFonts w:ascii="宋体" w:cs="宋体"/>
                <w:kern w:val="0"/>
              </w:rPr>
            </w:pPr>
            <w:r>
              <w:rPr>
                <w:rFonts w:hint="eastAsia" w:ascii="宋体" w:hAnsi="宋体" w:cs="宋体"/>
                <w:kern w:val="0"/>
              </w:rPr>
              <w:t>学前</w:t>
            </w:r>
          </w:p>
          <w:p>
            <w:pPr>
              <w:widowControl/>
              <w:spacing w:line="280" w:lineRule="exact"/>
              <w:jc w:val="center"/>
              <w:rPr>
                <w:rFonts w:ascii="宋体" w:cs="宋体"/>
                <w:kern w:val="0"/>
              </w:rPr>
            </w:pPr>
            <w:r>
              <w:rPr>
                <w:rFonts w:hint="eastAsia" w:ascii="宋体" w:hAnsi="宋体" w:cs="宋体"/>
                <w:kern w:val="0"/>
              </w:rPr>
              <w:t>教育（保育员）</w:t>
            </w:r>
          </w:p>
        </w:tc>
        <w:tc>
          <w:tcPr>
            <w:tcW w:w="736" w:type="dxa"/>
            <w:vAlign w:val="center"/>
          </w:tcPr>
          <w:p>
            <w:pPr>
              <w:spacing w:line="280" w:lineRule="exact"/>
              <w:jc w:val="center"/>
              <w:rPr>
                <w:rFonts w:ascii="宋体" w:cs="宋体"/>
                <w:kern w:val="0"/>
              </w:rPr>
            </w:pPr>
          </w:p>
        </w:tc>
        <w:tc>
          <w:tcPr>
            <w:tcW w:w="736" w:type="dxa"/>
            <w:vAlign w:val="center"/>
          </w:tcPr>
          <w:p>
            <w:pPr>
              <w:spacing w:line="280" w:lineRule="exact"/>
              <w:jc w:val="center"/>
              <w:rPr>
                <w:rFonts w:ascii="宋体" w:cs="宋体"/>
                <w:kern w:val="0"/>
              </w:rPr>
            </w:pPr>
            <w:r>
              <w:rPr>
                <w:rFonts w:hint="eastAsia" w:ascii="宋体" w:cs="宋体"/>
                <w:kern w:val="0"/>
              </w:rPr>
              <w:t>22</w:t>
            </w:r>
          </w:p>
        </w:tc>
        <w:tc>
          <w:tcPr>
            <w:tcW w:w="888" w:type="dxa"/>
            <w:vAlign w:val="center"/>
          </w:tcPr>
          <w:p>
            <w:pPr>
              <w:spacing w:line="280" w:lineRule="exact"/>
              <w:jc w:val="center"/>
              <w:rPr>
                <w:rFonts w:ascii="宋体" w:cs="宋体"/>
                <w:kern w:val="0"/>
              </w:rPr>
            </w:pPr>
          </w:p>
        </w:tc>
        <w:tc>
          <w:tcPr>
            <w:tcW w:w="736" w:type="dxa"/>
            <w:vAlign w:val="center"/>
          </w:tcPr>
          <w:p>
            <w:pPr>
              <w:spacing w:line="280" w:lineRule="exact"/>
              <w:jc w:val="center"/>
              <w:rPr>
                <w:rFonts w:ascii="宋体" w:cs="宋体"/>
                <w:kern w:val="0"/>
              </w:rPr>
            </w:pPr>
          </w:p>
        </w:tc>
        <w:tc>
          <w:tcPr>
            <w:tcW w:w="736" w:type="dxa"/>
            <w:vAlign w:val="center"/>
          </w:tcPr>
          <w:p>
            <w:pPr>
              <w:spacing w:line="280" w:lineRule="exact"/>
              <w:jc w:val="center"/>
              <w:rPr>
                <w:rFonts w:ascii="宋体" w:cs="宋体"/>
                <w:kern w:val="0"/>
              </w:rPr>
            </w:pPr>
          </w:p>
        </w:tc>
        <w:tc>
          <w:tcPr>
            <w:tcW w:w="907" w:type="dxa"/>
            <w:vAlign w:val="center"/>
          </w:tcPr>
          <w:p>
            <w:pPr>
              <w:spacing w:line="280" w:lineRule="exact"/>
              <w:jc w:val="center"/>
              <w:rPr>
                <w:rFonts w:ascii="宋体" w:cs="宋体"/>
                <w:kern w:val="0"/>
              </w:rPr>
            </w:pPr>
          </w:p>
        </w:tc>
        <w:tc>
          <w:tcPr>
            <w:tcW w:w="708" w:type="dxa"/>
            <w:vAlign w:val="center"/>
          </w:tcPr>
          <w:p>
            <w:pPr>
              <w:spacing w:line="280" w:lineRule="exact"/>
              <w:jc w:val="center"/>
              <w:rPr>
                <w:rFonts w:ascii="宋体" w:cs="宋体"/>
                <w:kern w:val="0"/>
              </w:rPr>
            </w:pPr>
          </w:p>
        </w:tc>
        <w:tc>
          <w:tcPr>
            <w:tcW w:w="712" w:type="dxa"/>
            <w:gridSpan w:val="2"/>
            <w:vAlign w:val="center"/>
          </w:tcPr>
          <w:p>
            <w:pPr>
              <w:spacing w:line="280" w:lineRule="exact"/>
              <w:jc w:val="center"/>
              <w:rPr>
                <w:rFonts w:ascii="宋体" w:cs="宋体"/>
                <w:kern w:val="0"/>
              </w:rPr>
            </w:pPr>
          </w:p>
        </w:tc>
        <w:tc>
          <w:tcPr>
            <w:tcW w:w="919" w:type="dxa"/>
            <w:vAlign w:val="center"/>
          </w:tcPr>
          <w:p>
            <w:pPr>
              <w:spacing w:line="280" w:lineRule="exact"/>
              <w:jc w:val="center"/>
              <w:rPr>
                <w:rFonts w:asci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widowControl/>
              <w:spacing w:line="280" w:lineRule="exact"/>
              <w:ind w:left="69" w:leftChars="33"/>
              <w:jc w:val="center"/>
              <w:rPr>
                <w:rFonts w:ascii="宋体" w:cs="宋体"/>
                <w:kern w:val="0"/>
              </w:rPr>
            </w:pPr>
          </w:p>
        </w:tc>
        <w:tc>
          <w:tcPr>
            <w:tcW w:w="765" w:type="dxa"/>
            <w:vMerge w:val="restart"/>
            <w:vAlign w:val="center"/>
          </w:tcPr>
          <w:p>
            <w:pPr>
              <w:widowControl/>
              <w:spacing w:line="280" w:lineRule="exact"/>
              <w:jc w:val="center"/>
              <w:rPr>
                <w:rFonts w:ascii="宋体"/>
                <w:kern w:val="0"/>
              </w:rPr>
            </w:pPr>
            <w:r>
              <w:rPr>
                <w:rFonts w:hint="eastAsia" w:ascii="宋体" w:hAnsi="宋体"/>
                <w:kern w:val="0"/>
              </w:rPr>
              <w:t>文化</w:t>
            </w:r>
          </w:p>
          <w:p>
            <w:pPr>
              <w:widowControl/>
              <w:spacing w:line="280" w:lineRule="exact"/>
              <w:jc w:val="center"/>
              <w:rPr>
                <w:rFonts w:ascii="宋体"/>
              </w:rPr>
            </w:pPr>
            <w:r>
              <w:rPr>
                <w:rFonts w:hint="eastAsia" w:ascii="宋体" w:hAnsi="宋体"/>
                <w:kern w:val="0"/>
              </w:rPr>
              <w:t>艺术</w:t>
            </w:r>
          </w:p>
        </w:tc>
        <w:tc>
          <w:tcPr>
            <w:tcW w:w="1026" w:type="dxa"/>
            <w:vAlign w:val="center"/>
          </w:tcPr>
          <w:p>
            <w:pPr>
              <w:widowControl/>
              <w:spacing w:line="280" w:lineRule="exact"/>
              <w:jc w:val="center"/>
              <w:rPr>
                <w:rFonts w:ascii="宋体" w:cs="宋体"/>
                <w:kern w:val="0"/>
              </w:rPr>
            </w:pPr>
            <w:r>
              <w:rPr>
                <w:rFonts w:hint="eastAsia" w:ascii="宋体" w:hAnsi="宋体" w:cs="宋体"/>
                <w:kern w:val="0"/>
              </w:rPr>
              <w:t>美术</w:t>
            </w:r>
          </w:p>
          <w:p>
            <w:pPr>
              <w:widowControl/>
              <w:spacing w:line="280" w:lineRule="exact"/>
              <w:jc w:val="center"/>
              <w:rPr>
                <w:rFonts w:ascii="宋体" w:cs="宋体"/>
                <w:kern w:val="0"/>
              </w:rPr>
            </w:pPr>
            <w:r>
              <w:rPr>
                <w:rFonts w:hint="eastAsia" w:ascii="宋体" w:hAnsi="宋体" w:cs="宋体"/>
                <w:kern w:val="0"/>
              </w:rPr>
              <w:t>绘画</w:t>
            </w:r>
          </w:p>
        </w:tc>
        <w:tc>
          <w:tcPr>
            <w:tcW w:w="736" w:type="dxa"/>
            <w:vAlign w:val="center"/>
          </w:tcPr>
          <w:p>
            <w:pPr>
              <w:spacing w:line="280" w:lineRule="exact"/>
              <w:jc w:val="center"/>
              <w:rPr>
                <w:rFonts w:ascii="宋体" w:cs="宋体"/>
                <w:kern w:val="0"/>
              </w:rPr>
            </w:pPr>
            <w:r>
              <w:rPr>
                <w:rFonts w:hint="eastAsia" w:ascii="宋体" w:hAnsi="宋体" w:cs="宋体"/>
                <w:kern w:val="0"/>
              </w:rPr>
              <w:t>145</w:t>
            </w:r>
          </w:p>
        </w:tc>
        <w:tc>
          <w:tcPr>
            <w:tcW w:w="736" w:type="dxa"/>
            <w:vAlign w:val="center"/>
          </w:tcPr>
          <w:p>
            <w:pPr>
              <w:spacing w:line="280" w:lineRule="exact"/>
              <w:jc w:val="center"/>
              <w:rPr>
                <w:rFonts w:ascii="宋体" w:cs="宋体"/>
                <w:kern w:val="0"/>
              </w:rPr>
            </w:pPr>
            <w:r>
              <w:rPr>
                <w:rFonts w:hint="eastAsia" w:ascii="宋体" w:hAnsi="宋体" w:cs="宋体"/>
                <w:kern w:val="0"/>
              </w:rPr>
              <w:t>137</w:t>
            </w:r>
          </w:p>
        </w:tc>
        <w:tc>
          <w:tcPr>
            <w:tcW w:w="888" w:type="dxa"/>
            <w:vAlign w:val="center"/>
          </w:tcPr>
          <w:p>
            <w:pPr>
              <w:spacing w:line="280" w:lineRule="exact"/>
              <w:jc w:val="center"/>
              <w:rPr>
                <w:rFonts w:ascii="宋体" w:cs="宋体"/>
                <w:kern w:val="0"/>
              </w:rPr>
            </w:pPr>
            <w:r>
              <w:rPr>
                <w:rFonts w:hint="eastAsia" w:ascii="宋体" w:hAnsi="宋体" w:cs="宋体"/>
                <w:kern w:val="0"/>
              </w:rPr>
              <w:t>-5.5</w:t>
            </w:r>
            <w:r>
              <w:rPr>
                <w:rFonts w:ascii="宋体" w:hAnsi="宋体" w:cs="宋体"/>
                <w:kern w:val="0"/>
              </w:rPr>
              <w:t>%</w:t>
            </w:r>
          </w:p>
        </w:tc>
        <w:tc>
          <w:tcPr>
            <w:tcW w:w="736" w:type="dxa"/>
            <w:vAlign w:val="center"/>
          </w:tcPr>
          <w:p>
            <w:pPr>
              <w:spacing w:line="280" w:lineRule="exact"/>
              <w:jc w:val="center"/>
              <w:rPr>
                <w:rFonts w:ascii="宋体" w:cs="宋体"/>
                <w:kern w:val="0"/>
              </w:rPr>
            </w:pPr>
            <w:r>
              <w:rPr>
                <w:rFonts w:hint="eastAsia" w:ascii="宋体" w:hAnsi="宋体" w:cs="宋体"/>
                <w:kern w:val="0"/>
              </w:rPr>
              <w:t>317</w:t>
            </w:r>
          </w:p>
        </w:tc>
        <w:tc>
          <w:tcPr>
            <w:tcW w:w="736" w:type="dxa"/>
            <w:vAlign w:val="center"/>
          </w:tcPr>
          <w:p>
            <w:pPr>
              <w:spacing w:line="280" w:lineRule="exact"/>
              <w:jc w:val="center"/>
              <w:rPr>
                <w:rFonts w:ascii="宋体" w:cs="宋体"/>
                <w:kern w:val="0"/>
              </w:rPr>
            </w:pPr>
            <w:r>
              <w:rPr>
                <w:rFonts w:hint="eastAsia" w:ascii="宋体" w:hAnsi="宋体" w:cs="宋体"/>
                <w:kern w:val="0"/>
              </w:rPr>
              <w:t>363</w:t>
            </w:r>
          </w:p>
        </w:tc>
        <w:tc>
          <w:tcPr>
            <w:tcW w:w="907" w:type="dxa"/>
            <w:vAlign w:val="center"/>
          </w:tcPr>
          <w:p>
            <w:pPr>
              <w:spacing w:line="280" w:lineRule="exact"/>
              <w:jc w:val="center"/>
              <w:rPr>
                <w:rFonts w:ascii="宋体" w:cs="宋体"/>
                <w:kern w:val="0"/>
              </w:rPr>
            </w:pPr>
            <w:r>
              <w:rPr>
                <w:rFonts w:hint="eastAsia" w:ascii="宋体" w:hAnsi="宋体" w:cs="宋体"/>
                <w:kern w:val="0"/>
              </w:rPr>
              <w:t>14.5</w:t>
            </w:r>
            <w:r>
              <w:rPr>
                <w:rFonts w:ascii="宋体" w:hAnsi="宋体" w:cs="宋体"/>
                <w:kern w:val="0"/>
              </w:rPr>
              <w:t>%</w:t>
            </w:r>
          </w:p>
        </w:tc>
        <w:tc>
          <w:tcPr>
            <w:tcW w:w="708" w:type="dxa"/>
            <w:vAlign w:val="center"/>
          </w:tcPr>
          <w:p>
            <w:pPr>
              <w:spacing w:line="280" w:lineRule="exact"/>
              <w:jc w:val="center"/>
              <w:rPr>
                <w:rFonts w:ascii="宋体" w:cs="宋体"/>
                <w:kern w:val="0"/>
              </w:rPr>
            </w:pPr>
            <w:r>
              <w:rPr>
                <w:rFonts w:hint="eastAsia" w:ascii="宋体" w:cs="宋体"/>
                <w:kern w:val="0"/>
              </w:rPr>
              <w:t>96.5%</w:t>
            </w:r>
          </w:p>
        </w:tc>
        <w:tc>
          <w:tcPr>
            <w:tcW w:w="712" w:type="dxa"/>
            <w:gridSpan w:val="2"/>
            <w:vAlign w:val="center"/>
          </w:tcPr>
          <w:p>
            <w:pPr>
              <w:spacing w:line="280" w:lineRule="exact"/>
              <w:jc w:val="center"/>
              <w:rPr>
                <w:rFonts w:ascii="宋体" w:cs="宋体"/>
                <w:kern w:val="0"/>
              </w:rPr>
            </w:pPr>
            <w:r>
              <w:rPr>
                <w:rFonts w:hint="eastAsia" w:ascii="宋体" w:cs="宋体"/>
                <w:kern w:val="0"/>
              </w:rPr>
              <w:t>98.6%</w:t>
            </w:r>
          </w:p>
        </w:tc>
        <w:tc>
          <w:tcPr>
            <w:tcW w:w="919" w:type="dxa"/>
            <w:vAlign w:val="center"/>
          </w:tcPr>
          <w:p>
            <w:pPr>
              <w:spacing w:line="280" w:lineRule="exact"/>
              <w:jc w:val="center"/>
              <w:rPr>
                <w:rFonts w:ascii="宋体" w:cs="宋体"/>
                <w:kern w:val="0"/>
              </w:rPr>
            </w:pPr>
            <w:r>
              <w:rPr>
                <w:rFonts w:hint="eastAsia" w:ascii="宋体" w:cs="宋体"/>
                <w:kern w:val="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widowControl/>
              <w:spacing w:line="280" w:lineRule="exact"/>
              <w:ind w:left="69" w:leftChars="33"/>
              <w:jc w:val="center"/>
              <w:rPr>
                <w:rFonts w:ascii="宋体" w:cs="宋体"/>
                <w:kern w:val="0"/>
              </w:rPr>
            </w:pPr>
          </w:p>
        </w:tc>
        <w:tc>
          <w:tcPr>
            <w:tcW w:w="765" w:type="dxa"/>
            <w:vMerge w:val="continue"/>
            <w:vAlign w:val="center"/>
          </w:tcPr>
          <w:p>
            <w:pPr>
              <w:widowControl/>
              <w:spacing w:line="280" w:lineRule="exact"/>
              <w:jc w:val="center"/>
              <w:rPr>
                <w:rFonts w:ascii="宋体"/>
                <w:kern w:val="0"/>
              </w:rPr>
            </w:pPr>
          </w:p>
        </w:tc>
        <w:tc>
          <w:tcPr>
            <w:tcW w:w="1026" w:type="dxa"/>
            <w:vAlign w:val="center"/>
          </w:tcPr>
          <w:p>
            <w:pPr>
              <w:widowControl/>
              <w:spacing w:line="280" w:lineRule="exact"/>
              <w:jc w:val="center"/>
              <w:rPr>
                <w:rFonts w:ascii="宋体" w:cs="宋体"/>
                <w:kern w:val="0"/>
              </w:rPr>
            </w:pPr>
            <w:r>
              <w:rPr>
                <w:rFonts w:hint="eastAsia" w:ascii="宋体" w:hAnsi="宋体" w:cs="宋体"/>
                <w:kern w:val="0"/>
              </w:rPr>
              <w:t>工艺美术（装潢设计与制作）</w:t>
            </w:r>
          </w:p>
        </w:tc>
        <w:tc>
          <w:tcPr>
            <w:tcW w:w="736" w:type="dxa"/>
            <w:vAlign w:val="center"/>
          </w:tcPr>
          <w:p>
            <w:pPr>
              <w:spacing w:line="280" w:lineRule="exact"/>
              <w:jc w:val="center"/>
              <w:rPr>
                <w:rFonts w:ascii="宋体" w:cs="宋体"/>
                <w:kern w:val="0"/>
              </w:rPr>
            </w:pPr>
            <w:r>
              <w:rPr>
                <w:rFonts w:hint="eastAsia" w:ascii="宋体" w:hAnsi="宋体" w:cs="宋体"/>
                <w:kern w:val="0"/>
              </w:rPr>
              <w:t>48</w:t>
            </w:r>
          </w:p>
        </w:tc>
        <w:tc>
          <w:tcPr>
            <w:tcW w:w="736" w:type="dxa"/>
            <w:vAlign w:val="center"/>
          </w:tcPr>
          <w:p>
            <w:pPr>
              <w:spacing w:line="280" w:lineRule="exact"/>
              <w:jc w:val="center"/>
              <w:rPr>
                <w:rFonts w:ascii="宋体" w:cs="宋体"/>
                <w:kern w:val="0"/>
              </w:rPr>
            </w:pPr>
            <w:r>
              <w:rPr>
                <w:rFonts w:hint="eastAsia" w:ascii="宋体" w:hAnsi="宋体" w:cs="宋体"/>
                <w:kern w:val="0"/>
              </w:rPr>
              <w:t>47</w:t>
            </w:r>
          </w:p>
        </w:tc>
        <w:tc>
          <w:tcPr>
            <w:tcW w:w="888" w:type="dxa"/>
            <w:vAlign w:val="center"/>
          </w:tcPr>
          <w:p>
            <w:pPr>
              <w:spacing w:line="280" w:lineRule="exact"/>
              <w:jc w:val="center"/>
              <w:rPr>
                <w:rFonts w:ascii="宋体" w:cs="宋体"/>
                <w:kern w:val="0"/>
              </w:rPr>
            </w:pPr>
            <w:r>
              <w:rPr>
                <w:rFonts w:hint="eastAsia" w:ascii="宋体" w:hAnsi="宋体" w:cs="宋体"/>
                <w:kern w:val="0"/>
              </w:rPr>
              <w:t>-2.1</w:t>
            </w:r>
            <w:r>
              <w:rPr>
                <w:rFonts w:ascii="宋体" w:hAnsi="宋体" w:cs="宋体"/>
                <w:kern w:val="0"/>
              </w:rPr>
              <w:t>%</w:t>
            </w:r>
          </w:p>
        </w:tc>
        <w:tc>
          <w:tcPr>
            <w:tcW w:w="736" w:type="dxa"/>
            <w:vAlign w:val="center"/>
          </w:tcPr>
          <w:p>
            <w:pPr>
              <w:spacing w:line="280" w:lineRule="exact"/>
              <w:jc w:val="center"/>
              <w:rPr>
                <w:rFonts w:ascii="宋体" w:cs="宋体"/>
                <w:kern w:val="0"/>
              </w:rPr>
            </w:pPr>
            <w:r>
              <w:rPr>
                <w:rFonts w:hint="eastAsia" w:ascii="宋体" w:hAnsi="宋体" w:cs="宋体"/>
                <w:kern w:val="0"/>
              </w:rPr>
              <w:t>136</w:t>
            </w:r>
          </w:p>
        </w:tc>
        <w:tc>
          <w:tcPr>
            <w:tcW w:w="736" w:type="dxa"/>
            <w:vAlign w:val="center"/>
          </w:tcPr>
          <w:p>
            <w:pPr>
              <w:spacing w:line="280" w:lineRule="exact"/>
              <w:jc w:val="center"/>
              <w:rPr>
                <w:rFonts w:ascii="宋体" w:cs="宋体"/>
                <w:kern w:val="0"/>
              </w:rPr>
            </w:pPr>
            <w:r>
              <w:rPr>
                <w:rFonts w:hint="eastAsia" w:ascii="宋体" w:hAnsi="宋体" w:cs="宋体"/>
                <w:kern w:val="0"/>
              </w:rPr>
              <w:t>141</w:t>
            </w:r>
          </w:p>
        </w:tc>
        <w:tc>
          <w:tcPr>
            <w:tcW w:w="907" w:type="dxa"/>
            <w:vAlign w:val="center"/>
          </w:tcPr>
          <w:p>
            <w:pPr>
              <w:spacing w:line="280" w:lineRule="exact"/>
              <w:jc w:val="center"/>
              <w:rPr>
                <w:rFonts w:ascii="宋体" w:cs="宋体"/>
                <w:kern w:val="0"/>
              </w:rPr>
            </w:pPr>
            <w:r>
              <w:rPr>
                <w:rFonts w:hint="eastAsia" w:ascii="宋体" w:hAnsi="宋体" w:cs="宋体"/>
                <w:kern w:val="0"/>
              </w:rPr>
              <w:t>3.7</w:t>
            </w:r>
            <w:r>
              <w:rPr>
                <w:rFonts w:ascii="宋体" w:hAnsi="宋体" w:cs="宋体"/>
                <w:kern w:val="0"/>
              </w:rPr>
              <w:t>%</w:t>
            </w:r>
          </w:p>
        </w:tc>
        <w:tc>
          <w:tcPr>
            <w:tcW w:w="708" w:type="dxa"/>
            <w:vAlign w:val="center"/>
          </w:tcPr>
          <w:p>
            <w:pPr>
              <w:spacing w:line="280" w:lineRule="exact"/>
              <w:jc w:val="center"/>
              <w:rPr>
                <w:rFonts w:ascii="宋体" w:cs="宋体"/>
                <w:kern w:val="0"/>
              </w:rPr>
            </w:pPr>
            <w:r>
              <w:rPr>
                <w:rFonts w:hint="eastAsia" w:ascii="宋体" w:cs="宋体"/>
                <w:kern w:val="0"/>
              </w:rPr>
              <w:t>96.3%</w:t>
            </w:r>
          </w:p>
        </w:tc>
        <w:tc>
          <w:tcPr>
            <w:tcW w:w="712" w:type="dxa"/>
            <w:gridSpan w:val="2"/>
            <w:vAlign w:val="center"/>
          </w:tcPr>
          <w:p>
            <w:pPr>
              <w:spacing w:line="280" w:lineRule="exact"/>
              <w:jc w:val="center"/>
              <w:rPr>
                <w:rFonts w:ascii="宋体" w:cs="宋体"/>
                <w:kern w:val="0"/>
              </w:rPr>
            </w:pPr>
            <w:r>
              <w:rPr>
                <w:rFonts w:hint="eastAsia" w:ascii="宋体" w:cs="宋体"/>
                <w:kern w:val="0"/>
              </w:rPr>
              <w:t>98.6%</w:t>
            </w:r>
          </w:p>
        </w:tc>
        <w:tc>
          <w:tcPr>
            <w:tcW w:w="919" w:type="dxa"/>
            <w:vAlign w:val="center"/>
          </w:tcPr>
          <w:p>
            <w:pPr>
              <w:spacing w:line="280" w:lineRule="exact"/>
              <w:jc w:val="center"/>
              <w:rPr>
                <w:rFonts w:ascii="宋体" w:cs="宋体"/>
                <w:kern w:val="0"/>
              </w:rPr>
            </w:pPr>
            <w:r>
              <w:rPr>
                <w:rFonts w:hint="eastAsia" w:ascii="宋体" w:cs="宋体"/>
                <w:kern w:val="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Merge w:val="continue"/>
            <w:vAlign w:val="center"/>
          </w:tcPr>
          <w:p>
            <w:pPr>
              <w:widowControl/>
              <w:spacing w:line="280" w:lineRule="exact"/>
              <w:ind w:left="69" w:leftChars="33"/>
              <w:jc w:val="center"/>
              <w:rPr>
                <w:rFonts w:ascii="宋体" w:cs="宋体"/>
                <w:kern w:val="0"/>
              </w:rPr>
            </w:pPr>
          </w:p>
        </w:tc>
        <w:tc>
          <w:tcPr>
            <w:tcW w:w="765" w:type="dxa"/>
            <w:vMerge w:val="continue"/>
            <w:vAlign w:val="center"/>
          </w:tcPr>
          <w:p>
            <w:pPr>
              <w:widowControl/>
              <w:spacing w:line="280" w:lineRule="exact"/>
              <w:jc w:val="center"/>
              <w:rPr>
                <w:rFonts w:ascii="宋体"/>
                <w:kern w:val="0"/>
              </w:rPr>
            </w:pPr>
          </w:p>
        </w:tc>
        <w:tc>
          <w:tcPr>
            <w:tcW w:w="1026" w:type="dxa"/>
            <w:vAlign w:val="center"/>
          </w:tcPr>
          <w:p>
            <w:pPr>
              <w:widowControl/>
              <w:spacing w:line="280" w:lineRule="exact"/>
              <w:jc w:val="center"/>
              <w:rPr>
                <w:rFonts w:ascii="宋体" w:cs="宋体"/>
                <w:kern w:val="0"/>
              </w:rPr>
            </w:pPr>
            <w:r>
              <w:rPr>
                <w:rFonts w:hint="eastAsia" w:ascii="宋体" w:hAnsi="宋体" w:cs="宋体"/>
                <w:kern w:val="0"/>
              </w:rPr>
              <w:t>工艺美术（工艺美术品设计与制作）</w:t>
            </w:r>
          </w:p>
        </w:tc>
        <w:tc>
          <w:tcPr>
            <w:tcW w:w="736" w:type="dxa"/>
            <w:vAlign w:val="center"/>
          </w:tcPr>
          <w:p>
            <w:pPr>
              <w:spacing w:line="280" w:lineRule="exact"/>
              <w:jc w:val="center"/>
              <w:rPr>
                <w:rFonts w:ascii="宋体" w:cs="宋体"/>
                <w:kern w:val="0"/>
              </w:rPr>
            </w:pPr>
            <w:r>
              <w:rPr>
                <w:rFonts w:hint="eastAsia" w:ascii="宋体" w:hAnsi="宋体" w:cs="宋体"/>
                <w:kern w:val="0"/>
              </w:rPr>
              <w:t>47</w:t>
            </w:r>
          </w:p>
        </w:tc>
        <w:tc>
          <w:tcPr>
            <w:tcW w:w="736" w:type="dxa"/>
            <w:vAlign w:val="center"/>
          </w:tcPr>
          <w:p>
            <w:pPr>
              <w:spacing w:line="280" w:lineRule="exact"/>
              <w:jc w:val="center"/>
              <w:rPr>
                <w:rFonts w:ascii="宋体" w:cs="宋体"/>
                <w:kern w:val="0"/>
              </w:rPr>
            </w:pPr>
            <w:r>
              <w:rPr>
                <w:rFonts w:hint="eastAsia" w:ascii="宋体" w:hAnsi="宋体" w:cs="宋体"/>
                <w:kern w:val="0"/>
              </w:rPr>
              <w:t>43</w:t>
            </w:r>
          </w:p>
        </w:tc>
        <w:tc>
          <w:tcPr>
            <w:tcW w:w="888" w:type="dxa"/>
            <w:vAlign w:val="center"/>
          </w:tcPr>
          <w:p>
            <w:pPr>
              <w:spacing w:line="280" w:lineRule="exact"/>
              <w:jc w:val="center"/>
              <w:rPr>
                <w:rFonts w:ascii="宋体" w:cs="宋体"/>
                <w:kern w:val="0"/>
              </w:rPr>
            </w:pPr>
            <w:r>
              <w:rPr>
                <w:rFonts w:hint="eastAsia" w:ascii="宋体" w:hAnsi="宋体" w:cs="宋体"/>
                <w:kern w:val="0"/>
              </w:rPr>
              <w:t>-8.5</w:t>
            </w:r>
            <w:r>
              <w:rPr>
                <w:rFonts w:ascii="宋体" w:hAnsi="宋体" w:cs="宋体"/>
                <w:kern w:val="0"/>
              </w:rPr>
              <w:t>%</w:t>
            </w:r>
          </w:p>
        </w:tc>
        <w:tc>
          <w:tcPr>
            <w:tcW w:w="736" w:type="dxa"/>
            <w:vAlign w:val="center"/>
          </w:tcPr>
          <w:p>
            <w:pPr>
              <w:spacing w:line="280" w:lineRule="exact"/>
              <w:jc w:val="center"/>
              <w:rPr>
                <w:rFonts w:ascii="宋体" w:cs="宋体"/>
                <w:kern w:val="0"/>
              </w:rPr>
            </w:pPr>
            <w:r>
              <w:rPr>
                <w:rFonts w:hint="eastAsia" w:ascii="宋体" w:hAnsi="宋体" w:cs="宋体"/>
                <w:kern w:val="0"/>
              </w:rPr>
              <w:t>131</w:t>
            </w:r>
          </w:p>
        </w:tc>
        <w:tc>
          <w:tcPr>
            <w:tcW w:w="736" w:type="dxa"/>
            <w:vAlign w:val="center"/>
          </w:tcPr>
          <w:p>
            <w:pPr>
              <w:spacing w:line="280" w:lineRule="exact"/>
              <w:jc w:val="center"/>
              <w:rPr>
                <w:rFonts w:ascii="宋体" w:cs="宋体"/>
                <w:kern w:val="0"/>
              </w:rPr>
            </w:pPr>
            <w:r>
              <w:rPr>
                <w:rFonts w:hint="eastAsia" w:ascii="宋体" w:hAnsi="宋体" w:cs="宋体"/>
                <w:kern w:val="0"/>
              </w:rPr>
              <w:t>133</w:t>
            </w:r>
          </w:p>
        </w:tc>
        <w:tc>
          <w:tcPr>
            <w:tcW w:w="907" w:type="dxa"/>
            <w:vAlign w:val="center"/>
          </w:tcPr>
          <w:p>
            <w:pPr>
              <w:spacing w:line="280" w:lineRule="exact"/>
              <w:jc w:val="center"/>
              <w:rPr>
                <w:rFonts w:ascii="宋体" w:cs="宋体"/>
                <w:kern w:val="0"/>
              </w:rPr>
            </w:pPr>
            <w:r>
              <w:rPr>
                <w:rFonts w:hint="eastAsia" w:ascii="宋体" w:hAnsi="宋体" w:cs="宋体"/>
                <w:kern w:val="0"/>
              </w:rPr>
              <w:t>1.5</w:t>
            </w:r>
            <w:r>
              <w:rPr>
                <w:rFonts w:ascii="宋体" w:hAnsi="宋体" w:cs="宋体"/>
                <w:kern w:val="0"/>
              </w:rPr>
              <w:t>%</w:t>
            </w:r>
          </w:p>
        </w:tc>
        <w:tc>
          <w:tcPr>
            <w:tcW w:w="708" w:type="dxa"/>
            <w:vAlign w:val="center"/>
          </w:tcPr>
          <w:p>
            <w:pPr>
              <w:spacing w:line="280" w:lineRule="exact"/>
              <w:jc w:val="center"/>
              <w:rPr>
                <w:rFonts w:ascii="宋体" w:cs="宋体"/>
                <w:kern w:val="0"/>
              </w:rPr>
            </w:pPr>
            <w:r>
              <w:rPr>
                <w:rFonts w:hint="eastAsia" w:ascii="宋体" w:cs="宋体"/>
                <w:kern w:val="0"/>
              </w:rPr>
              <w:t>103.1%</w:t>
            </w:r>
          </w:p>
        </w:tc>
        <w:tc>
          <w:tcPr>
            <w:tcW w:w="712" w:type="dxa"/>
            <w:gridSpan w:val="2"/>
            <w:vAlign w:val="center"/>
          </w:tcPr>
          <w:p>
            <w:pPr>
              <w:spacing w:line="280" w:lineRule="exact"/>
              <w:jc w:val="center"/>
              <w:rPr>
                <w:rFonts w:ascii="宋体" w:cs="宋体"/>
                <w:kern w:val="0"/>
              </w:rPr>
            </w:pPr>
            <w:r>
              <w:rPr>
                <w:rFonts w:hint="eastAsia" w:ascii="宋体" w:cs="宋体"/>
                <w:kern w:val="0"/>
              </w:rPr>
              <w:t>99.2%</w:t>
            </w:r>
          </w:p>
        </w:tc>
        <w:tc>
          <w:tcPr>
            <w:tcW w:w="919" w:type="dxa"/>
            <w:vAlign w:val="center"/>
          </w:tcPr>
          <w:p>
            <w:pPr>
              <w:spacing w:line="280" w:lineRule="exact"/>
              <w:jc w:val="center"/>
              <w:rPr>
                <w:rFonts w:ascii="宋体" w:cs="宋体"/>
                <w:kern w:val="0"/>
              </w:rPr>
            </w:pPr>
            <w:r>
              <w:rPr>
                <w:rFonts w:hint="eastAsia" w:ascii="宋体" w:cs="宋体"/>
                <w:kern w:val="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20" w:type="dxa"/>
            <w:vMerge w:val="continue"/>
            <w:vAlign w:val="center"/>
          </w:tcPr>
          <w:p>
            <w:pPr>
              <w:widowControl/>
              <w:spacing w:line="280" w:lineRule="exact"/>
              <w:ind w:left="69" w:leftChars="33"/>
              <w:jc w:val="center"/>
              <w:rPr>
                <w:rFonts w:ascii="宋体" w:cs="宋体"/>
                <w:kern w:val="0"/>
              </w:rPr>
            </w:pPr>
          </w:p>
        </w:tc>
        <w:tc>
          <w:tcPr>
            <w:tcW w:w="765" w:type="dxa"/>
            <w:vMerge w:val="continue"/>
            <w:vAlign w:val="center"/>
          </w:tcPr>
          <w:p>
            <w:pPr>
              <w:widowControl/>
              <w:spacing w:line="280" w:lineRule="exact"/>
              <w:jc w:val="center"/>
              <w:rPr>
                <w:rFonts w:ascii="宋体"/>
                <w:kern w:val="0"/>
              </w:rPr>
            </w:pPr>
          </w:p>
        </w:tc>
        <w:tc>
          <w:tcPr>
            <w:tcW w:w="1026" w:type="dxa"/>
            <w:vAlign w:val="center"/>
          </w:tcPr>
          <w:p>
            <w:pPr>
              <w:widowControl/>
              <w:spacing w:line="280" w:lineRule="exact"/>
              <w:jc w:val="center"/>
              <w:rPr>
                <w:rFonts w:ascii="宋体" w:cs="宋体"/>
                <w:kern w:val="0"/>
              </w:rPr>
            </w:pPr>
            <w:r>
              <w:rPr>
                <w:rFonts w:hint="eastAsia" w:ascii="宋体" w:hAnsi="宋体" w:cs="宋体"/>
                <w:kern w:val="0"/>
              </w:rPr>
              <w:t>美术设计与制作</w:t>
            </w:r>
          </w:p>
        </w:tc>
        <w:tc>
          <w:tcPr>
            <w:tcW w:w="736" w:type="dxa"/>
            <w:vAlign w:val="center"/>
          </w:tcPr>
          <w:p>
            <w:pPr>
              <w:spacing w:line="280" w:lineRule="exact"/>
              <w:jc w:val="center"/>
              <w:rPr>
                <w:rFonts w:ascii="宋体" w:cs="宋体"/>
                <w:kern w:val="0"/>
              </w:rPr>
            </w:pPr>
            <w:r>
              <w:rPr>
                <w:rFonts w:hint="eastAsia" w:ascii="宋体" w:hAnsi="宋体" w:cs="宋体"/>
                <w:kern w:val="0"/>
              </w:rPr>
              <w:t>50</w:t>
            </w:r>
          </w:p>
        </w:tc>
        <w:tc>
          <w:tcPr>
            <w:tcW w:w="736" w:type="dxa"/>
            <w:vAlign w:val="center"/>
          </w:tcPr>
          <w:p>
            <w:pPr>
              <w:spacing w:line="280" w:lineRule="exact"/>
              <w:jc w:val="center"/>
              <w:rPr>
                <w:rFonts w:ascii="宋体" w:cs="宋体"/>
                <w:kern w:val="0"/>
              </w:rPr>
            </w:pPr>
            <w:r>
              <w:rPr>
                <w:rFonts w:hint="eastAsia" w:ascii="宋体" w:hAnsi="宋体" w:cs="宋体"/>
                <w:kern w:val="0"/>
              </w:rPr>
              <w:t>44</w:t>
            </w:r>
          </w:p>
        </w:tc>
        <w:tc>
          <w:tcPr>
            <w:tcW w:w="888" w:type="dxa"/>
            <w:vAlign w:val="center"/>
          </w:tcPr>
          <w:p>
            <w:pPr>
              <w:spacing w:line="280" w:lineRule="exact"/>
              <w:jc w:val="center"/>
              <w:rPr>
                <w:rFonts w:ascii="宋体" w:cs="宋体"/>
                <w:kern w:val="0"/>
              </w:rPr>
            </w:pPr>
            <w:r>
              <w:rPr>
                <w:rFonts w:hint="eastAsia" w:ascii="宋体" w:hAnsi="宋体" w:cs="宋体"/>
                <w:kern w:val="0"/>
              </w:rPr>
              <w:t>-12</w:t>
            </w:r>
            <w:r>
              <w:rPr>
                <w:rFonts w:ascii="宋体" w:hAnsi="宋体" w:cs="宋体"/>
                <w:kern w:val="0"/>
              </w:rPr>
              <w:t>%</w:t>
            </w:r>
          </w:p>
        </w:tc>
        <w:tc>
          <w:tcPr>
            <w:tcW w:w="736" w:type="dxa"/>
            <w:vAlign w:val="center"/>
          </w:tcPr>
          <w:p>
            <w:pPr>
              <w:spacing w:line="280" w:lineRule="exact"/>
              <w:jc w:val="center"/>
              <w:rPr>
                <w:rFonts w:ascii="宋体" w:cs="宋体"/>
                <w:kern w:val="0"/>
              </w:rPr>
            </w:pPr>
            <w:r>
              <w:rPr>
                <w:rFonts w:hint="eastAsia" w:ascii="宋体" w:hAnsi="宋体" w:cs="宋体"/>
                <w:kern w:val="0"/>
              </w:rPr>
              <w:t>137</w:t>
            </w:r>
          </w:p>
        </w:tc>
        <w:tc>
          <w:tcPr>
            <w:tcW w:w="736" w:type="dxa"/>
            <w:vAlign w:val="center"/>
          </w:tcPr>
          <w:p>
            <w:pPr>
              <w:spacing w:line="280" w:lineRule="exact"/>
              <w:jc w:val="center"/>
              <w:rPr>
                <w:rFonts w:ascii="宋体" w:cs="宋体"/>
                <w:kern w:val="0"/>
              </w:rPr>
            </w:pPr>
            <w:r>
              <w:rPr>
                <w:rFonts w:hint="eastAsia" w:ascii="宋体" w:hAnsi="宋体" w:cs="宋体"/>
                <w:kern w:val="0"/>
              </w:rPr>
              <w:t>139</w:t>
            </w:r>
          </w:p>
        </w:tc>
        <w:tc>
          <w:tcPr>
            <w:tcW w:w="907" w:type="dxa"/>
            <w:vAlign w:val="center"/>
          </w:tcPr>
          <w:p>
            <w:pPr>
              <w:spacing w:line="280" w:lineRule="exact"/>
              <w:jc w:val="center"/>
              <w:rPr>
                <w:rFonts w:ascii="宋体" w:cs="宋体"/>
                <w:kern w:val="0"/>
              </w:rPr>
            </w:pPr>
            <w:r>
              <w:rPr>
                <w:rFonts w:hint="eastAsia" w:ascii="宋体" w:hAnsi="宋体" w:cs="宋体"/>
                <w:kern w:val="0"/>
              </w:rPr>
              <w:t>1.5</w:t>
            </w:r>
            <w:r>
              <w:rPr>
                <w:rFonts w:ascii="宋体" w:hAnsi="宋体" w:cs="宋体"/>
                <w:kern w:val="0"/>
              </w:rPr>
              <w:t>%</w:t>
            </w:r>
          </w:p>
        </w:tc>
        <w:tc>
          <w:tcPr>
            <w:tcW w:w="708" w:type="dxa"/>
            <w:vAlign w:val="center"/>
          </w:tcPr>
          <w:p>
            <w:pPr>
              <w:spacing w:line="280" w:lineRule="exact"/>
              <w:jc w:val="center"/>
              <w:rPr>
                <w:rFonts w:ascii="宋体" w:cs="宋体"/>
                <w:kern w:val="0"/>
              </w:rPr>
            </w:pPr>
            <w:r>
              <w:rPr>
                <w:rFonts w:hint="eastAsia" w:ascii="宋体" w:cs="宋体"/>
                <w:kern w:val="0"/>
              </w:rPr>
              <w:t>99.3%</w:t>
            </w:r>
          </w:p>
        </w:tc>
        <w:tc>
          <w:tcPr>
            <w:tcW w:w="712" w:type="dxa"/>
            <w:gridSpan w:val="2"/>
            <w:vAlign w:val="center"/>
          </w:tcPr>
          <w:p>
            <w:pPr>
              <w:spacing w:line="280" w:lineRule="exact"/>
              <w:jc w:val="center"/>
              <w:rPr>
                <w:rFonts w:ascii="宋体" w:cs="宋体"/>
                <w:kern w:val="0"/>
              </w:rPr>
            </w:pPr>
            <w:r>
              <w:rPr>
                <w:rFonts w:hint="eastAsia" w:ascii="宋体" w:cs="宋体"/>
                <w:kern w:val="0"/>
              </w:rPr>
              <w:t>99.3%</w:t>
            </w:r>
          </w:p>
        </w:tc>
        <w:tc>
          <w:tcPr>
            <w:tcW w:w="919" w:type="dxa"/>
            <w:vAlign w:val="center"/>
          </w:tcPr>
          <w:p>
            <w:pPr>
              <w:spacing w:line="280" w:lineRule="exact"/>
              <w:jc w:val="center"/>
              <w:rPr>
                <w:rFonts w:ascii="宋体" w:cs="宋体"/>
                <w:kern w:val="0"/>
              </w:rPr>
            </w:pPr>
            <w:r>
              <w:rPr>
                <w:rFonts w:hint="eastAsia" w:ascii="宋体" w:cs="宋体"/>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20" w:type="dxa"/>
            <w:vMerge w:val="continue"/>
            <w:vAlign w:val="center"/>
          </w:tcPr>
          <w:p>
            <w:pPr>
              <w:widowControl/>
              <w:spacing w:line="280" w:lineRule="exact"/>
              <w:ind w:left="69" w:leftChars="33"/>
              <w:jc w:val="center"/>
              <w:rPr>
                <w:rFonts w:ascii="宋体" w:cs="宋体"/>
                <w:kern w:val="0"/>
              </w:rPr>
            </w:pPr>
          </w:p>
        </w:tc>
        <w:tc>
          <w:tcPr>
            <w:tcW w:w="765" w:type="dxa"/>
            <w:vMerge w:val="continue"/>
            <w:vAlign w:val="center"/>
          </w:tcPr>
          <w:p>
            <w:pPr>
              <w:widowControl/>
              <w:spacing w:line="280" w:lineRule="exact"/>
              <w:jc w:val="center"/>
              <w:rPr>
                <w:rFonts w:ascii="宋体"/>
                <w:kern w:val="0"/>
              </w:rPr>
            </w:pPr>
          </w:p>
        </w:tc>
        <w:tc>
          <w:tcPr>
            <w:tcW w:w="1026" w:type="dxa"/>
            <w:vAlign w:val="center"/>
          </w:tcPr>
          <w:p>
            <w:pPr>
              <w:widowControl/>
              <w:spacing w:line="280" w:lineRule="exact"/>
              <w:jc w:val="center"/>
              <w:rPr>
                <w:rFonts w:ascii="宋体" w:cs="宋体"/>
                <w:kern w:val="0"/>
              </w:rPr>
            </w:pPr>
            <w:r>
              <w:rPr>
                <w:rFonts w:hint="eastAsia" w:ascii="宋体" w:hAnsi="宋体"/>
              </w:rPr>
              <w:t>民族工艺品制作（民族陶艺）</w:t>
            </w:r>
          </w:p>
        </w:tc>
        <w:tc>
          <w:tcPr>
            <w:tcW w:w="736" w:type="dxa"/>
            <w:vAlign w:val="center"/>
          </w:tcPr>
          <w:p>
            <w:pPr>
              <w:widowControl/>
              <w:spacing w:line="280" w:lineRule="exact"/>
              <w:jc w:val="center"/>
              <w:rPr>
                <w:rFonts w:ascii="宋体" w:cs="宋体"/>
                <w:kern w:val="0"/>
              </w:rPr>
            </w:pPr>
            <w:r>
              <w:rPr>
                <w:rFonts w:hint="eastAsia" w:ascii="宋体" w:cs="宋体"/>
                <w:kern w:val="0"/>
              </w:rPr>
              <w:t>25</w:t>
            </w:r>
          </w:p>
        </w:tc>
        <w:tc>
          <w:tcPr>
            <w:tcW w:w="736" w:type="dxa"/>
            <w:vAlign w:val="center"/>
          </w:tcPr>
          <w:p>
            <w:pPr>
              <w:spacing w:line="280" w:lineRule="exact"/>
              <w:jc w:val="center"/>
              <w:rPr>
                <w:rFonts w:ascii="宋体" w:cs="宋体"/>
                <w:kern w:val="0"/>
              </w:rPr>
            </w:pPr>
            <w:r>
              <w:rPr>
                <w:rFonts w:ascii="宋体" w:cs="宋体"/>
                <w:kern w:val="0"/>
              </w:rPr>
              <w:t>3</w:t>
            </w:r>
            <w:r>
              <w:rPr>
                <w:rFonts w:hint="eastAsia" w:ascii="宋体" w:cs="宋体"/>
                <w:kern w:val="0"/>
              </w:rPr>
              <w:t>0</w:t>
            </w:r>
          </w:p>
        </w:tc>
        <w:tc>
          <w:tcPr>
            <w:tcW w:w="888" w:type="dxa"/>
            <w:vAlign w:val="center"/>
          </w:tcPr>
          <w:p>
            <w:pPr>
              <w:spacing w:line="280" w:lineRule="exact"/>
              <w:jc w:val="center"/>
              <w:rPr>
                <w:rFonts w:ascii="宋体" w:cs="宋体"/>
                <w:kern w:val="0"/>
              </w:rPr>
            </w:pPr>
            <w:r>
              <w:rPr>
                <w:rFonts w:hint="eastAsia" w:ascii="宋体" w:cs="宋体"/>
                <w:kern w:val="0"/>
              </w:rPr>
              <w:t>20%</w:t>
            </w:r>
          </w:p>
        </w:tc>
        <w:tc>
          <w:tcPr>
            <w:tcW w:w="736" w:type="dxa"/>
            <w:vAlign w:val="center"/>
          </w:tcPr>
          <w:p>
            <w:pPr>
              <w:spacing w:line="280" w:lineRule="exact"/>
              <w:jc w:val="center"/>
              <w:rPr>
                <w:rFonts w:ascii="宋体" w:cs="宋体"/>
                <w:kern w:val="0"/>
              </w:rPr>
            </w:pPr>
            <w:r>
              <w:rPr>
                <w:rFonts w:hint="eastAsia" w:ascii="宋体" w:cs="宋体"/>
                <w:kern w:val="0"/>
              </w:rPr>
              <w:t>55</w:t>
            </w:r>
          </w:p>
        </w:tc>
        <w:tc>
          <w:tcPr>
            <w:tcW w:w="736" w:type="dxa"/>
            <w:vAlign w:val="center"/>
          </w:tcPr>
          <w:p>
            <w:pPr>
              <w:spacing w:line="280" w:lineRule="exact"/>
              <w:jc w:val="center"/>
              <w:rPr>
                <w:rFonts w:ascii="宋体" w:cs="宋体"/>
                <w:kern w:val="0"/>
              </w:rPr>
            </w:pPr>
            <w:r>
              <w:rPr>
                <w:rFonts w:hint="eastAsia" w:ascii="宋体" w:cs="宋体"/>
                <w:kern w:val="0"/>
              </w:rPr>
              <w:t>77</w:t>
            </w:r>
          </w:p>
        </w:tc>
        <w:tc>
          <w:tcPr>
            <w:tcW w:w="907" w:type="dxa"/>
            <w:vAlign w:val="center"/>
          </w:tcPr>
          <w:p>
            <w:pPr>
              <w:spacing w:line="280" w:lineRule="exact"/>
              <w:jc w:val="center"/>
              <w:rPr>
                <w:rFonts w:ascii="宋体" w:cs="宋体"/>
                <w:kern w:val="0"/>
              </w:rPr>
            </w:pPr>
            <w:r>
              <w:rPr>
                <w:rFonts w:hint="eastAsia" w:ascii="宋体" w:cs="宋体"/>
                <w:kern w:val="0"/>
              </w:rPr>
              <w:t>40%</w:t>
            </w:r>
          </w:p>
        </w:tc>
        <w:tc>
          <w:tcPr>
            <w:tcW w:w="708" w:type="dxa"/>
            <w:vAlign w:val="center"/>
          </w:tcPr>
          <w:p>
            <w:pPr>
              <w:widowControl/>
              <w:spacing w:line="280" w:lineRule="exact"/>
              <w:jc w:val="center"/>
              <w:rPr>
                <w:rFonts w:ascii="宋体" w:cs="宋体"/>
                <w:kern w:val="0"/>
              </w:rPr>
            </w:pPr>
            <w:r>
              <w:rPr>
                <w:rFonts w:hint="eastAsia" w:ascii="宋体" w:cs="宋体"/>
                <w:kern w:val="0"/>
              </w:rPr>
              <w:t>87.3%</w:t>
            </w:r>
          </w:p>
        </w:tc>
        <w:tc>
          <w:tcPr>
            <w:tcW w:w="712" w:type="dxa"/>
            <w:gridSpan w:val="2"/>
            <w:vAlign w:val="center"/>
          </w:tcPr>
          <w:p>
            <w:pPr>
              <w:spacing w:line="280" w:lineRule="exact"/>
              <w:jc w:val="center"/>
              <w:rPr>
                <w:rFonts w:ascii="宋体" w:cs="宋体"/>
                <w:kern w:val="0"/>
              </w:rPr>
            </w:pPr>
            <w:r>
              <w:rPr>
                <w:rFonts w:hint="eastAsia" w:ascii="宋体" w:cs="宋体"/>
                <w:kern w:val="0"/>
              </w:rPr>
              <w:t>96.1%</w:t>
            </w:r>
          </w:p>
        </w:tc>
        <w:tc>
          <w:tcPr>
            <w:tcW w:w="919" w:type="dxa"/>
            <w:vAlign w:val="center"/>
          </w:tcPr>
          <w:p>
            <w:pPr>
              <w:spacing w:line="280" w:lineRule="exact"/>
              <w:jc w:val="center"/>
              <w:rPr>
                <w:rFonts w:ascii="宋体" w:cs="宋体"/>
                <w:kern w:val="0"/>
              </w:rPr>
            </w:pPr>
            <w:r>
              <w:rPr>
                <w:rFonts w:hint="eastAsia" w:ascii="宋体" w:cs="宋体"/>
                <w:kern w:val="0"/>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485" w:type="dxa"/>
            <w:gridSpan w:val="2"/>
            <w:vAlign w:val="center"/>
          </w:tcPr>
          <w:p>
            <w:pPr>
              <w:spacing w:beforeLines="50" w:afterLines="50" w:line="420" w:lineRule="exact"/>
              <w:jc w:val="center"/>
              <w:rPr>
                <w:rFonts w:ascii="宋体"/>
              </w:rPr>
            </w:pPr>
            <w:r>
              <w:rPr>
                <w:rFonts w:hint="eastAsia" w:ascii="宋体" w:hAnsi="宋体"/>
              </w:rPr>
              <w:t>当年专业总数</w:t>
            </w:r>
          </w:p>
        </w:tc>
        <w:tc>
          <w:tcPr>
            <w:tcW w:w="1026" w:type="dxa"/>
            <w:vAlign w:val="center"/>
          </w:tcPr>
          <w:p>
            <w:pPr>
              <w:spacing w:beforeLines="50" w:afterLines="50" w:line="420" w:lineRule="exact"/>
              <w:jc w:val="center"/>
              <w:rPr>
                <w:rFonts w:ascii="宋体"/>
              </w:rPr>
            </w:pPr>
            <w:r>
              <w:rPr>
                <w:rFonts w:hint="eastAsia" w:ascii="宋体" w:hAnsi="宋体"/>
              </w:rPr>
              <w:t>7</w:t>
            </w:r>
          </w:p>
        </w:tc>
        <w:tc>
          <w:tcPr>
            <w:tcW w:w="736" w:type="dxa"/>
            <w:vAlign w:val="center"/>
          </w:tcPr>
          <w:p>
            <w:pPr>
              <w:spacing w:beforeLines="50" w:afterLines="50" w:line="420" w:lineRule="exact"/>
              <w:jc w:val="center"/>
              <w:rPr>
                <w:rFonts w:ascii="宋体"/>
              </w:rPr>
            </w:pPr>
            <w:r>
              <w:rPr>
                <w:rFonts w:hint="eastAsia" w:ascii="宋体" w:hAnsi="宋体"/>
              </w:rPr>
              <w:t>369</w:t>
            </w:r>
          </w:p>
        </w:tc>
        <w:tc>
          <w:tcPr>
            <w:tcW w:w="736" w:type="dxa"/>
            <w:vAlign w:val="center"/>
          </w:tcPr>
          <w:p>
            <w:pPr>
              <w:spacing w:beforeLines="50" w:afterLines="50" w:line="420" w:lineRule="exact"/>
              <w:jc w:val="center"/>
              <w:rPr>
                <w:rFonts w:ascii="宋体"/>
              </w:rPr>
            </w:pPr>
            <w:r>
              <w:rPr>
                <w:rFonts w:hint="eastAsia" w:ascii="宋体" w:hAnsi="宋体"/>
              </w:rPr>
              <w:t>323</w:t>
            </w:r>
          </w:p>
        </w:tc>
        <w:tc>
          <w:tcPr>
            <w:tcW w:w="888" w:type="dxa"/>
            <w:vAlign w:val="center"/>
          </w:tcPr>
          <w:p>
            <w:pPr>
              <w:spacing w:beforeLines="50" w:afterLines="50" w:line="420" w:lineRule="exact"/>
              <w:jc w:val="center"/>
              <w:rPr>
                <w:rFonts w:ascii="宋体"/>
              </w:rPr>
            </w:pPr>
            <w:r>
              <w:rPr>
                <w:rFonts w:hint="eastAsia" w:ascii="宋体" w:hAnsi="宋体"/>
              </w:rPr>
              <w:t>-12.5</w:t>
            </w:r>
            <w:r>
              <w:rPr>
                <w:rFonts w:ascii="宋体" w:hAnsi="宋体"/>
              </w:rPr>
              <w:t>%</w:t>
            </w:r>
          </w:p>
        </w:tc>
        <w:tc>
          <w:tcPr>
            <w:tcW w:w="736" w:type="dxa"/>
            <w:vAlign w:val="center"/>
          </w:tcPr>
          <w:p>
            <w:pPr>
              <w:spacing w:beforeLines="50" w:afterLines="50" w:line="420" w:lineRule="exact"/>
              <w:jc w:val="center"/>
              <w:rPr>
                <w:rFonts w:ascii="宋体"/>
              </w:rPr>
            </w:pPr>
            <w:r>
              <w:rPr>
                <w:rFonts w:hint="eastAsia" w:ascii="宋体" w:hAnsi="宋体"/>
              </w:rPr>
              <w:t>893</w:t>
            </w:r>
          </w:p>
        </w:tc>
        <w:tc>
          <w:tcPr>
            <w:tcW w:w="736" w:type="dxa"/>
            <w:vAlign w:val="center"/>
          </w:tcPr>
          <w:p>
            <w:pPr>
              <w:spacing w:beforeLines="50" w:afterLines="50" w:line="420" w:lineRule="exact"/>
              <w:jc w:val="center"/>
              <w:rPr>
                <w:rFonts w:ascii="宋体"/>
              </w:rPr>
            </w:pPr>
            <w:r>
              <w:rPr>
                <w:rFonts w:hint="eastAsia" w:ascii="宋体" w:hAnsi="宋体"/>
              </w:rPr>
              <w:t>956</w:t>
            </w:r>
          </w:p>
        </w:tc>
        <w:tc>
          <w:tcPr>
            <w:tcW w:w="907" w:type="dxa"/>
            <w:vAlign w:val="center"/>
          </w:tcPr>
          <w:p>
            <w:pPr>
              <w:spacing w:beforeLines="50" w:afterLines="50" w:line="420" w:lineRule="exact"/>
              <w:jc w:val="center"/>
              <w:rPr>
                <w:rFonts w:ascii="宋体"/>
              </w:rPr>
            </w:pPr>
            <w:r>
              <w:rPr>
                <w:rFonts w:hint="eastAsia" w:ascii="宋体" w:hAnsi="宋体"/>
              </w:rPr>
              <w:t>7.1</w:t>
            </w:r>
            <w:r>
              <w:rPr>
                <w:rFonts w:ascii="宋体" w:hAnsi="宋体"/>
              </w:rPr>
              <w:t>%</w:t>
            </w:r>
          </w:p>
        </w:tc>
        <w:tc>
          <w:tcPr>
            <w:tcW w:w="716" w:type="dxa"/>
            <w:gridSpan w:val="2"/>
            <w:vAlign w:val="center"/>
          </w:tcPr>
          <w:p>
            <w:pPr>
              <w:spacing w:line="280" w:lineRule="exact"/>
              <w:jc w:val="center"/>
              <w:rPr>
                <w:rFonts w:ascii="宋体" w:cs="宋体"/>
                <w:kern w:val="0"/>
              </w:rPr>
            </w:pPr>
            <w:r>
              <w:rPr>
                <w:rFonts w:hint="eastAsia" w:ascii="宋体" w:cs="宋体"/>
                <w:kern w:val="0"/>
              </w:rPr>
              <w:t>97.4%</w:t>
            </w:r>
          </w:p>
        </w:tc>
        <w:tc>
          <w:tcPr>
            <w:tcW w:w="704" w:type="dxa"/>
            <w:vAlign w:val="center"/>
          </w:tcPr>
          <w:p>
            <w:pPr>
              <w:spacing w:beforeLines="50" w:afterLines="50" w:line="280" w:lineRule="exact"/>
              <w:jc w:val="center"/>
              <w:rPr>
                <w:rFonts w:ascii="宋体"/>
              </w:rPr>
            </w:pPr>
            <w:r>
              <w:rPr>
                <w:rFonts w:hint="eastAsia" w:ascii="宋体"/>
              </w:rPr>
              <w:t>98.3%</w:t>
            </w:r>
          </w:p>
        </w:tc>
        <w:tc>
          <w:tcPr>
            <w:tcW w:w="919" w:type="dxa"/>
            <w:vAlign w:val="center"/>
          </w:tcPr>
          <w:p>
            <w:pPr>
              <w:spacing w:beforeLines="50" w:afterLines="50" w:line="420" w:lineRule="exact"/>
              <w:jc w:val="center"/>
              <w:rPr>
                <w:rFonts w:ascii="宋体"/>
              </w:rPr>
            </w:pPr>
            <w:r>
              <w:rPr>
                <w:rFonts w:hint="eastAsia" w:ascii="宋体"/>
              </w:rPr>
              <w:t>0.9</w:t>
            </w:r>
          </w:p>
        </w:tc>
      </w:tr>
    </w:tbl>
    <w:p>
      <w:pPr>
        <w:rPr>
          <w:rFonts w:ascii="宋体"/>
        </w:rPr>
      </w:pPr>
      <w:r>
        <w:rPr>
          <w:rFonts w:hint="eastAsia" w:ascii="宋体"/>
        </w:rPr>
        <w:t>表</w:t>
      </w:r>
      <w:r>
        <w:rPr>
          <w:rFonts w:ascii="宋体"/>
        </w:rPr>
        <w:t>1</w:t>
      </w:r>
      <w:r>
        <w:rPr>
          <w:rFonts w:hint="eastAsia" w:ascii="宋体"/>
        </w:rPr>
        <w:t>数据来源：学校教务处统计提供</w:t>
      </w:r>
    </w:p>
    <w:p>
      <w:pPr>
        <w:rPr>
          <w:rFonts w:ascii="宋体"/>
          <w:b/>
          <w:sz w:val="28"/>
          <w:szCs w:val="28"/>
        </w:rPr>
      </w:pPr>
    </w:p>
    <w:p>
      <w:pPr>
        <w:ind w:left="357" w:leftChars="170"/>
        <w:rPr>
          <w:rFonts w:hint="eastAsia" w:ascii="宋体" w:hAnsi="宋体"/>
          <w:b/>
          <w:sz w:val="28"/>
          <w:szCs w:val="28"/>
        </w:rPr>
      </w:pPr>
    </w:p>
    <w:p>
      <w:pPr>
        <w:ind w:left="357" w:leftChars="170"/>
        <w:rPr>
          <w:rFonts w:ascii="宋体"/>
          <w:b/>
          <w:sz w:val="28"/>
          <w:szCs w:val="28"/>
        </w:rPr>
      </w:pPr>
      <w:r>
        <w:rPr>
          <w:rFonts w:ascii="宋体" w:hAnsi="宋体"/>
          <w:b/>
          <w:sz w:val="28"/>
          <w:szCs w:val="28"/>
        </w:rPr>
        <w:t>1.3</w:t>
      </w:r>
      <w:r>
        <w:rPr>
          <w:rFonts w:hint="eastAsia" w:ascii="宋体" w:hAnsi="宋体"/>
          <w:b/>
          <w:sz w:val="28"/>
          <w:szCs w:val="28"/>
        </w:rPr>
        <w:t>教师队伍</w:t>
      </w:r>
    </w:p>
    <w:p>
      <w:pPr>
        <w:jc w:val="center"/>
        <w:rPr>
          <w:rFonts w:ascii="宋体"/>
          <w:b/>
          <w:sz w:val="28"/>
          <w:szCs w:val="28"/>
        </w:rPr>
      </w:pPr>
      <w:r>
        <w:rPr>
          <w:rFonts w:hint="eastAsia" w:ascii="宋体" w:hAnsi="宋体"/>
          <w:sz w:val="24"/>
          <w:szCs w:val="24"/>
        </w:rPr>
        <w:t>表</w:t>
      </w:r>
      <w:r>
        <w:rPr>
          <w:rFonts w:ascii="宋体" w:hAnsi="宋体"/>
          <w:sz w:val="24"/>
          <w:szCs w:val="24"/>
        </w:rPr>
        <w:t>2</w:t>
      </w:r>
      <w:r>
        <w:rPr>
          <w:rFonts w:hint="eastAsia" w:ascii="宋体" w:hAnsi="宋体"/>
          <w:sz w:val="24"/>
          <w:szCs w:val="24"/>
        </w:rPr>
        <w:t>：教师队伍情况表</w:t>
      </w:r>
    </w:p>
    <w:tbl>
      <w:tblPr>
        <w:tblStyle w:val="7"/>
        <w:tblW w:w="10024" w:type="dxa"/>
        <w:jc w:val="center"/>
        <w:tblLayout w:type="fixed"/>
        <w:tblCellMar>
          <w:top w:w="0" w:type="dxa"/>
          <w:left w:w="108" w:type="dxa"/>
          <w:bottom w:w="0" w:type="dxa"/>
          <w:right w:w="108" w:type="dxa"/>
        </w:tblCellMar>
      </w:tblPr>
      <w:tblGrid>
        <w:gridCol w:w="1135"/>
        <w:gridCol w:w="761"/>
        <w:gridCol w:w="709"/>
        <w:gridCol w:w="851"/>
        <w:gridCol w:w="780"/>
        <w:gridCol w:w="779"/>
        <w:gridCol w:w="850"/>
        <w:gridCol w:w="899"/>
        <w:gridCol w:w="850"/>
        <w:gridCol w:w="851"/>
        <w:gridCol w:w="708"/>
        <w:gridCol w:w="851"/>
      </w:tblGrid>
      <w:tr>
        <w:tblPrEx>
          <w:tblCellMar>
            <w:top w:w="0" w:type="dxa"/>
            <w:left w:w="108" w:type="dxa"/>
            <w:bottom w:w="0" w:type="dxa"/>
            <w:right w:w="108" w:type="dxa"/>
          </w:tblCellMar>
        </w:tblPrEx>
        <w:trPr>
          <w:trHeight w:val="567" w:hRule="atLeast"/>
          <w:jc w:val="center"/>
        </w:trPr>
        <w:tc>
          <w:tcPr>
            <w:tcW w:w="1135" w:type="dxa"/>
            <w:vMerge w:val="restart"/>
            <w:tcBorders>
              <w:top w:val="single" w:color="000000" w:sz="4" w:space="0"/>
              <w:left w:val="single" w:color="000000" w:sz="4" w:space="0"/>
              <w:bottom w:val="single" w:color="000000" w:sz="4" w:space="0"/>
              <w:right w:val="single" w:color="auto" w:sz="4" w:space="0"/>
            </w:tcBorders>
            <w:vAlign w:val="center"/>
          </w:tcPr>
          <w:p>
            <w:pPr>
              <w:widowControl/>
              <w:spacing w:line="420" w:lineRule="exact"/>
              <w:jc w:val="center"/>
              <w:rPr>
                <w:rFonts w:ascii="宋体"/>
                <w:color w:val="000000"/>
                <w:kern w:val="0"/>
              </w:rPr>
            </w:pPr>
            <w:r>
              <w:rPr>
                <w:rFonts w:hint="eastAsia" w:ascii="宋体" w:hAnsi="宋体"/>
                <w:kern w:val="0"/>
              </w:rPr>
              <w:t>年度</w:t>
            </w:r>
          </w:p>
        </w:tc>
        <w:tc>
          <w:tcPr>
            <w:tcW w:w="761" w:type="dxa"/>
            <w:vMerge w:val="restart"/>
            <w:tcBorders>
              <w:top w:val="single" w:color="auto" w:sz="4" w:space="0"/>
              <w:left w:val="nil"/>
              <w:right w:val="single" w:color="auto" w:sz="4" w:space="0"/>
            </w:tcBorders>
            <w:vAlign w:val="center"/>
          </w:tcPr>
          <w:p>
            <w:pPr>
              <w:widowControl/>
              <w:spacing w:line="420" w:lineRule="exact"/>
              <w:jc w:val="center"/>
              <w:rPr>
                <w:rFonts w:ascii="宋体"/>
                <w:kern w:val="0"/>
              </w:rPr>
            </w:pPr>
            <w:r>
              <w:rPr>
                <w:rFonts w:hint="eastAsia" w:ascii="宋体" w:hAnsi="宋体"/>
                <w:kern w:val="0"/>
              </w:rPr>
              <w:t>总人数</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color w:val="000000"/>
                <w:kern w:val="0"/>
              </w:rPr>
            </w:pPr>
            <w:r>
              <w:rPr>
                <w:rFonts w:hint="eastAsia" w:ascii="宋体" w:hAnsi="宋体"/>
                <w:kern w:val="0"/>
              </w:rPr>
              <w:t>人数</w:t>
            </w:r>
          </w:p>
        </w:tc>
        <w:tc>
          <w:tcPr>
            <w:tcW w:w="2410" w:type="dxa"/>
            <w:gridSpan w:val="3"/>
            <w:tcBorders>
              <w:top w:val="single" w:color="000000" w:sz="4" w:space="0"/>
              <w:left w:val="single" w:color="auto" w:sz="4" w:space="0"/>
              <w:bottom w:val="single" w:color="auto" w:sz="4" w:space="0"/>
              <w:right w:val="single" w:color="000000" w:sz="4" w:space="0"/>
            </w:tcBorders>
            <w:vAlign w:val="center"/>
          </w:tcPr>
          <w:p>
            <w:pPr>
              <w:spacing w:line="420" w:lineRule="exact"/>
              <w:jc w:val="center"/>
              <w:rPr>
                <w:rFonts w:ascii="宋体"/>
                <w:color w:val="000000"/>
              </w:rPr>
            </w:pPr>
            <w:r>
              <w:rPr>
                <w:rFonts w:hint="eastAsia" w:ascii="宋体" w:hAnsi="宋体"/>
              </w:rPr>
              <w:t>学历</w:t>
            </w:r>
          </w:p>
        </w:tc>
        <w:tc>
          <w:tcPr>
            <w:tcW w:w="2599" w:type="dxa"/>
            <w:gridSpan w:val="3"/>
            <w:tcBorders>
              <w:top w:val="single" w:color="000000" w:sz="4" w:space="0"/>
              <w:left w:val="nil"/>
              <w:bottom w:val="single" w:color="auto" w:sz="4" w:space="0"/>
              <w:right w:val="single" w:color="000000" w:sz="4" w:space="0"/>
            </w:tcBorders>
            <w:vAlign w:val="center"/>
          </w:tcPr>
          <w:p>
            <w:pPr>
              <w:spacing w:line="420" w:lineRule="exact"/>
              <w:jc w:val="center"/>
              <w:rPr>
                <w:rFonts w:ascii="宋体"/>
                <w:color w:val="000000"/>
              </w:rPr>
            </w:pPr>
            <w:r>
              <w:rPr>
                <w:rFonts w:hint="eastAsia" w:ascii="宋体" w:hAnsi="宋体"/>
              </w:rPr>
              <w:t>职称</w:t>
            </w:r>
          </w:p>
        </w:tc>
        <w:tc>
          <w:tcPr>
            <w:tcW w:w="851" w:type="dxa"/>
            <w:vMerge w:val="restart"/>
            <w:tcBorders>
              <w:top w:val="single" w:color="000000" w:sz="4" w:space="0"/>
              <w:left w:val="nil"/>
              <w:bottom w:val="single" w:color="000000" w:sz="4" w:space="0"/>
              <w:right w:val="single" w:color="000000" w:sz="4" w:space="0"/>
            </w:tcBorders>
            <w:vAlign w:val="center"/>
          </w:tcPr>
          <w:p>
            <w:pPr>
              <w:adjustRightInd w:val="0"/>
              <w:snapToGrid w:val="0"/>
              <w:jc w:val="center"/>
              <w:rPr>
                <w:rFonts w:ascii="宋体"/>
                <w:color w:val="000000"/>
              </w:rPr>
            </w:pPr>
            <w:r>
              <w:rPr>
                <w:rFonts w:hint="eastAsia" w:ascii="宋体" w:hAnsi="宋体"/>
              </w:rPr>
              <w:t>双师型教师</w:t>
            </w:r>
          </w:p>
        </w:tc>
        <w:tc>
          <w:tcPr>
            <w:tcW w:w="708" w:type="dxa"/>
            <w:vMerge w:val="restart"/>
            <w:tcBorders>
              <w:top w:val="single" w:color="000000" w:sz="4" w:space="0"/>
              <w:left w:val="nil"/>
              <w:bottom w:val="single" w:color="000000" w:sz="4" w:space="0"/>
              <w:right w:val="single" w:color="000000" w:sz="4" w:space="0"/>
            </w:tcBorders>
            <w:vAlign w:val="center"/>
          </w:tcPr>
          <w:p>
            <w:pPr>
              <w:adjustRightInd w:val="0"/>
              <w:snapToGrid w:val="0"/>
              <w:jc w:val="center"/>
              <w:rPr>
                <w:rFonts w:ascii="宋体"/>
                <w:color w:val="000000"/>
              </w:rPr>
            </w:pPr>
            <w:r>
              <w:rPr>
                <w:rFonts w:hint="eastAsia" w:ascii="宋体" w:hAnsi="宋体"/>
              </w:rPr>
              <w:t>兼职</w:t>
            </w:r>
          </w:p>
          <w:p>
            <w:pPr>
              <w:adjustRightInd w:val="0"/>
              <w:snapToGrid w:val="0"/>
              <w:jc w:val="center"/>
              <w:rPr>
                <w:rFonts w:ascii="宋体"/>
                <w:color w:val="000000"/>
              </w:rPr>
            </w:pPr>
            <w:r>
              <w:rPr>
                <w:rFonts w:hint="eastAsia" w:ascii="宋体" w:hAnsi="宋体"/>
              </w:rPr>
              <w:t>教师</w:t>
            </w:r>
          </w:p>
        </w:tc>
        <w:tc>
          <w:tcPr>
            <w:tcW w:w="851" w:type="dxa"/>
            <w:vMerge w:val="restart"/>
            <w:tcBorders>
              <w:top w:val="single" w:color="000000" w:sz="4" w:space="0"/>
              <w:left w:val="nil"/>
              <w:right w:val="single" w:color="000000" w:sz="4" w:space="0"/>
            </w:tcBorders>
            <w:vAlign w:val="center"/>
          </w:tcPr>
          <w:p>
            <w:pPr>
              <w:adjustRightInd w:val="0"/>
              <w:snapToGrid w:val="0"/>
              <w:jc w:val="center"/>
              <w:rPr>
                <w:rFonts w:ascii="宋体"/>
                <w:color w:val="000000"/>
              </w:rPr>
            </w:pPr>
            <w:r>
              <w:rPr>
                <w:rFonts w:hint="eastAsia" w:ascii="宋体" w:hAnsi="宋体"/>
              </w:rPr>
              <w:t>生师比</w:t>
            </w:r>
          </w:p>
        </w:tc>
      </w:tr>
      <w:tr>
        <w:tblPrEx>
          <w:tblCellMar>
            <w:top w:w="0" w:type="dxa"/>
            <w:left w:w="108" w:type="dxa"/>
            <w:bottom w:w="0" w:type="dxa"/>
            <w:right w:w="108" w:type="dxa"/>
          </w:tblCellMar>
        </w:tblPrEx>
        <w:trPr>
          <w:trHeight w:val="139" w:hRule="atLeast"/>
          <w:jc w:val="center"/>
        </w:trPr>
        <w:tc>
          <w:tcPr>
            <w:tcW w:w="1135" w:type="dxa"/>
            <w:vMerge w:val="continue"/>
            <w:tcBorders>
              <w:top w:val="single" w:color="000000" w:sz="4" w:space="0"/>
              <w:left w:val="single" w:color="000000" w:sz="4" w:space="0"/>
              <w:bottom w:val="single" w:color="000000" w:sz="4" w:space="0"/>
              <w:right w:val="single" w:color="auto" w:sz="4" w:space="0"/>
            </w:tcBorders>
            <w:vAlign w:val="center"/>
          </w:tcPr>
          <w:p>
            <w:pPr>
              <w:widowControl/>
              <w:jc w:val="center"/>
              <w:rPr>
                <w:rFonts w:ascii="宋体"/>
                <w:color w:val="000000"/>
                <w:kern w:val="0"/>
              </w:rPr>
            </w:pPr>
          </w:p>
        </w:tc>
        <w:tc>
          <w:tcPr>
            <w:tcW w:w="761" w:type="dxa"/>
            <w:vMerge w:val="continue"/>
            <w:tcBorders>
              <w:left w:val="nil"/>
              <w:bottom w:val="single" w:color="auto" w:sz="4" w:space="0"/>
              <w:right w:val="single" w:color="auto" w:sz="4" w:space="0"/>
            </w:tcBorders>
          </w:tcPr>
          <w:p>
            <w:pPr>
              <w:widowControl/>
              <w:jc w:val="center"/>
              <w:rPr>
                <w:rFonts w:ascii="宋体"/>
                <w:color w:val="000000"/>
                <w:kern w:val="0"/>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color w:val="000000"/>
                <w:kern w:val="0"/>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宋体"/>
                <w:color w:val="000000"/>
              </w:rPr>
            </w:pPr>
            <w:r>
              <w:rPr>
                <w:rFonts w:hint="eastAsia" w:ascii="宋体" w:hAnsi="宋体"/>
              </w:rPr>
              <w:t>研究生</w:t>
            </w:r>
          </w:p>
        </w:tc>
        <w:tc>
          <w:tcPr>
            <w:tcW w:w="780" w:type="dxa"/>
            <w:tcBorders>
              <w:top w:val="single" w:color="auto" w:sz="4" w:space="0"/>
              <w:left w:val="nil"/>
              <w:bottom w:val="single" w:color="auto" w:sz="4" w:space="0"/>
              <w:right w:val="single" w:color="auto" w:sz="4" w:space="0"/>
            </w:tcBorders>
            <w:vAlign w:val="center"/>
          </w:tcPr>
          <w:p>
            <w:pPr>
              <w:spacing w:line="420" w:lineRule="exact"/>
              <w:jc w:val="center"/>
              <w:rPr>
                <w:rFonts w:ascii="宋体"/>
                <w:color w:val="000000"/>
              </w:rPr>
            </w:pPr>
            <w:r>
              <w:rPr>
                <w:rFonts w:hint="eastAsia" w:ascii="宋体" w:hAnsi="宋体"/>
              </w:rPr>
              <w:t>本科</w:t>
            </w:r>
          </w:p>
        </w:tc>
        <w:tc>
          <w:tcPr>
            <w:tcW w:w="779" w:type="dxa"/>
            <w:tcBorders>
              <w:top w:val="single" w:color="auto" w:sz="4" w:space="0"/>
              <w:left w:val="nil"/>
              <w:bottom w:val="single" w:color="auto" w:sz="4" w:space="0"/>
              <w:right w:val="single" w:color="000000" w:sz="4" w:space="0"/>
            </w:tcBorders>
            <w:vAlign w:val="center"/>
          </w:tcPr>
          <w:p>
            <w:pPr>
              <w:spacing w:line="420" w:lineRule="exact"/>
              <w:jc w:val="center"/>
              <w:rPr>
                <w:rFonts w:ascii="宋体"/>
                <w:color w:val="000000"/>
              </w:rPr>
            </w:pPr>
            <w:r>
              <w:rPr>
                <w:rFonts w:hint="eastAsia" w:ascii="宋体" w:hAnsi="宋体"/>
              </w:rPr>
              <w:t>大专</w:t>
            </w:r>
          </w:p>
        </w:tc>
        <w:tc>
          <w:tcPr>
            <w:tcW w:w="850" w:type="dxa"/>
            <w:tcBorders>
              <w:top w:val="single" w:color="auto" w:sz="4" w:space="0"/>
              <w:left w:val="nil"/>
              <w:bottom w:val="single" w:color="auto" w:sz="4" w:space="0"/>
              <w:right w:val="single" w:color="auto" w:sz="4" w:space="0"/>
            </w:tcBorders>
            <w:vAlign w:val="center"/>
          </w:tcPr>
          <w:p>
            <w:pPr>
              <w:spacing w:line="420" w:lineRule="exact"/>
              <w:jc w:val="center"/>
              <w:rPr>
                <w:rFonts w:ascii="宋体"/>
                <w:color w:val="000000"/>
              </w:rPr>
            </w:pPr>
            <w:r>
              <w:rPr>
                <w:rFonts w:hint="eastAsia" w:ascii="宋体" w:hAnsi="宋体"/>
              </w:rPr>
              <w:t>高讲</w:t>
            </w:r>
          </w:p>
        </w:tc>
        <w:tc>
          <w:tcPr>
            <w:tcW w:w="899" w:type="dxa"/>
            <w:tcBorders>
              <w:top w:val="single" w:color="auto" w:sz="4" w:space="0"/>
              <w:left w:val="nil"/>
              <w:bottom w:val="single" w:color="auto" w:sz="4" w:space="0"/>
              <w:right w:val="single" w:color="auto" w:sz="4" w:space="0"/>
            </w:tcBorders>
            <w:vAlign w:val="center"/>
          </w:tcPr>
          <w:p>
            <w:pPr>
              <w:spacing w:line="420" w:lineRule="exact"/>
              <w:jc w:val="center"/>
              <w:rPr>
                <w:rFonts w:ascii="宋体"/>
                <w:color w:val="000000"/>
              </w:rPr>
            </w:pPr>
            <w:r>
              <w:rPr>
                <w:rFonts w:hint="eastAsia" w:ascii="宋体" w:hAnsi="宋体"/>
              </w:rPr>
              <w:t>讲师</w:t>
            </w:r>
          </w:p>
        </w:tc>
        <w:tc>
          <w:tcPr>
            <w:tcW w:w="850" w:type="dxa"/>
            <w:tcBorders>
              <w:top w:val="single" w:color="auto" w:sz="4" w:space="0"/>
              <w:left w:val="nil"/>
              <w:bottom w:val="single" w:color="auto" w:sz="4" w:space="0"/>
              <w:right w:val="single" w:color="000000" w:sz="4" w:space="0"/>
            </w:tcBorders>
            <w:vAlign w:val="center"/>
          </w:tcPr>
          <w:p>
            <w:pPr>
              <w:spacing w:line="420" w:lineRule="exact"/>
              <w:jc w:val="center"/>
              <w:rPr>
                <w:rFonts w:ascii="宋体"/>
                <w:color w:val="000000"/>
              </w:rPr>
            </w:pPr>
            <w:r>
              <w:rPr>
                <w:rFonts w:hint="eastAsia" w:ascii="宋体" w:hAnsi="宋体"/>
              </w:rPr>
              <w:t>助讲</w:t>
            </w:r>
          </w:p>
        </w:tc>
        <w:tc>
          <w:tcPr>
            <w:tcW w:w="851" w:type="dxa"/>
            <w:vMerge w:val="continue"/>
            <w:tcBorders>
              <w:top w:val="single" w:color="000000" w:sz="4" w:space="0"/>
              <w:left w:val="nil"/>
              <w:bottom w:val="single" w:color="000000" w:sz="4" w:space="0"/>
              <w:right w:val="single" w:color="000000" w:sz="4" w:space="0"/>
            </w:tcBorders>
            <w:vAlign w:val="center"/>
          </w:tcPr>
          <w:p>
            <w:pPr>
              <w:widowControl/>
              <w:jc w:val="center"/>
              <w:rPr>
                <w:rFonts w:ascii="宋体"/>
                <w:color w:val="000000"/>
              </w:rPr>
            </w:pPr>
          </w:p>
        </w:tc>
        <w:tc>
          <w:tcPr>
            <w:tcW w:w="708" w:type="dxa"/>
            <w:vMerge w:val="continue"/>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宋体"/>
                <w:color w:val="000000"/>
              </w:rPr>
            </w:pPr>
          </w:p>
        </w:tc>
        <w:tc>
          <w:tcPr>
            <w:tcW w:w="851" w:type="dxa"/>
            <w:vMerge w:val="continue"/>
            <w:tcBorders>
              <w:left w:val="nil"/>
              <w:bottom w:val="single" w:color="auto" w:sz="4" w:space="0"/>
              <w:right w:val="single" w:color="000000" w:sz="4" w:space="0"/>
            </w:tcBorders>
            <w:vAlign w:val="center"/>
          </w:tcPr>
          <w:p>
            <w:pPr>
              <w:adjustRightInd w:val="0"/>
              <w:snapToGrid w:val="0"/>
              <w:jc w:val="center"/>
              <w:rPr>
                <w:rFonts w:ascii="宋体"/>
                <w:color w:val="000000"/>
              </w:rPr>
            </w:pPr>
          </w:p>
        </w:tc>
      </w:tr>
      <w:tr>
        <w:tblPrEx>
          <w:tblCellMar>
            <w:top w:w="0" w:type="dxa"/>
            <w:left w:w="108" w:type="dxa"/>
            <w:bottom w:w="0" w:type="dxa"/>
            <w:right w:w="108" w:type="dxa"/>
          </w:tblCellMar>
        </w:tblPrEx>
        <w:trPr>
          <w:trHeight w:val="345" w:hRule="atLeast"/>
          <w:jc w:val="center"/>
        </w:trPr>
        <w:tc>
          <w:tcPr>
            <w:tcW w:w="1135" w:type="dxa"/>
            <w:vMerge w:val="restart"/>
            <w:tcBorders>
              <w:top w:val="nil"/>
              <w:left w:val="single" w:color="000000" w:sz="4" w:space="0"/>
              <w:bottom w:val="single" w:color="000000" w:sz="4" w:space="0"/>
              <w:right w:val="single" w:color="auto" w:sz="4" w:space="0"/>
            </w:tcBorders>
            <w:vAlign w:val="center"/>
          </w:tcPr>
          <w:p>
            <w:pPr>
              <w:widowControl/>
              <w:adjustRightInd w:val="0"/>
              <w:snapToGrid w:val="0"/>
              <w:jc w:val="center"/>
              <w:rPr>
                <w:rFonts w:ascii="宋体"/>
                <w:color w:val="000000"/>
                <w:kern w:val="0"/>
              </w:rPr>
            </w:pPr>
            <w:r>
              <w:rPr>
                <w:rFonts w:ascii="宋体" w:hAnsi="宋体"/>
                <w:kern w:val="0"/>
              </w:rPr>
              <w:t>201</w:t>
            </w:r>
            <w:r>
              <w:rPr>
                <w:rFonts w:hint="eastAsia" w:ascii="宋体" w:hAnsi="宋体"/>
                <w:kern w:val="0"/>
              </w:rPr>
              <w:t>8</w:t>
            </w:r>
            <w:r>
              <w:rPr>
                <w:rFonts w:ascii="宋体"/>
                <w:kern w:val="0"/>
              </w:rPr>
              <w:t>-</w:t>
            </w:r>
          </w:p>
          <w:p>
            <w:pPr>
              <w:widowControl/>
              <w:adjustRightInd w:val="0"/>
              <w:snapToGrid w:val="0"/>
              <w:jc w:val="center"/>
              <w:rPr>
                <w:rFonts w:ascii="宋体"/>
                <w:color w:val="000000"/>
                <w:kern w:val="0"/>
              </w:rPr>
            </w:pPr>
            <w:r>
              <w:rPr>
                <w:rFonts w:ascii="宋体" w:hAnsi="宋体"/>
                <w:kern w:val="0"/>
              </w:rPr>
              <w:t>201</w:t>
            </w:r>
            <w:r>
              <w:rPr>
                <w:rFonts w:hint="eastAsia" w:ascii="宋体" w:hAnsi="宋体"/>
                <w:kern w:val="0"/>
              </w:rPr>
              <w:t>9学年</w:t>
            </w:r>
          </w:p>
        </w:tc>
        <w:tc>
          <w:tcPr>
            <w:tcW w:w="761" w:type="dxa"/>
            <w:vMerge w:val="restart"/>
            <w:tcBorders>
              <w:top w:val="single" w:color="auto" w:sz="4" w:space="0"/>
              <w:left w:val="nil"/>
              <w:right w:val="single" w:color="auto" w:sz="4" w:space="0"/>
            </w:tcBorders>
            <w:vAlign w:val="center"/>
          </w:tcPr>
          <w:p>
            <w:pPr>
              <w:widowControl/>
              <w:spacing w:line="420" w:lineRule="exact"/>
              <w:jc w:val="center"/>
              <w:rPr>
                <w:rFonts w:ascii="宋体"/>
                <w:kern w:val="0"/>
              </w:rPr>
            </w:pPr>
            <w:r>
              <w:rPr>
                <w:rFonts w:ascii="宋体" w:hAnsi="宋体"/>
                <w:kern w:val="0"/>
              </w:rPr>
              <w:t>66</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color w:val="000000"/>
                <w:kern w:val="0"/>
              </w:rPr>
            </w:pPr>
            <w:r>
              <w:rPr>
                <w:rFonts w:hint="eastAsia" w:ascii="宋体" w:hAnsi="宋体"/>
                <w:kern w:val="0"/>
              </w:rPr>
              <w:t>数量</w:t>
            </w:r>
          </w:p>
        </w:tc>
        <w:tc>
          <w:tcPr>
            <w:tcW w:w="851" w:type="dxa"/>
            <w:tcBorders>
              <w:top w:val="single" w:color="000000" w:sz="4" w:space="0"/>
              <w:left w:val="single" w:color="auto" w:sz="4" w:space="0"/>
              <w:bottom w:val="single" w:color="auto" w:sz="4" w:space="0"/>
              <w:right w:val="single" w:color="auto" w:sz="4" w:space="0"/>
            </w:tcBorders>
            <w:vAlign w:val="center"/>
          </w:tcPr>
          <w:p>
            <w:pPr>
              <w:spacing w:line="420" w:lineRule="exact"/>
              <w:jc w:val="center"/>
              <w:rPr>
                <w:rFonts w:ascii="宋体"/>
                <w:bCs/>
                <w:color w:val="000000"/>
              </w:rPr>
            </w:pPr>
            <w:r>
              <w:rPr>
                <w:rFonts w:ascii="宋体" w:hAnsi="宋体"/>
                <w:bCs/>
              </w:rPr>
              <w:t>1</w:t>
            </w:r>
            <w:r>
              <w:rPr>
                <w:rFonts w:hint="eastAsia" w:ascii="宋体" w:hAnsi="宋体"/>
                <w:bCs/>
              </w:rPr>
              <w:t>人</w:t>
            </w:r>
          </w:p>
        </w:tc>
        <w:tc>
          <w:tcPr>
            <w:tcW w:w="780" w:type="dxa"/>
            <w:tcBorders>
              <w:top w:val="single" w:color="000000" w:sz="4" w:space="0"/>
              <w:left w:val="nil"/>
              <w:bottom w:val="single" w:color="auto" w:sz="4" w:space="0"/>
              <w:right w:val="single" w:color="auto" w:sz="4" w:space="0"/>
            </w:tcBorders>
            <w:vAlign w:val="center"/>
          </w:tcPr>
          <w:p>
            <w:pPr>
              <w:spacing w:line="420" w:lineRule="exact"/>
              <w:jc w:val="center"/>
              <w:rPr>
                <w:rFonts w:ascii="宋体"/>
                <w:bCs/>
                <w:color w:val="000000"/>
              </w:rPr>
            </w:pPr>
            <w:r>
              <w:rPr>
                <w:rFonts w:ascii="宋体" w:hAnsi="宋体"/>
                <w:bCs/>
              </w:rPr>
              <w:t>64</w:t>
            </w:r>
            <w:r>
              <w:rPr>
                <w:rFonts w:hint="eastAsia" w:ascii="宋体" w:hAnsi="宋体"/>
                <w:bCs/>
              </w:rPr>
              <w:t>人</w:t>
            </w:r>
          </w:p>
        </w:tc>
        <w:tc>
          <w:tcPr>
            <w:tcW w:w="779"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ascii="宋体" w:hAnsi="宋体"/>
                <w:bCs/>
              </w:rPr>
              <w:t>1</w:t>
            </w:r>
            <w:r>
              <w:rPr>
                <w:rFonts w:hint="eastAsia" w:ascii="宋体" w:hAnsi="宋体"/>
                <w:bCs/>
              </w:rPr>
              <w:t>人</w:t>
            </w:r>
          </w:p>
        </w:tc>
        <w:tc>
          <w:tcPr>
            <w:tcW w:w="850" w:type="dxa"/>
            <w:tcBorders>
              <w:top w:val="single" w:color="000000" w:sz="4" w:space="0"/>
              <w:left w:val="nil"/>
              <w:bottom w:val="single" w:color="auto" w:sz="4" w:space="0"/>
              <w:right w:val="single" w:color="auto" w:sz="4" w:space="0"/>
            </w:tcBorders>
            <w:vAlign w:val="center"/>
          </w:tcPr>
          <w:p>
            <w:pPr>
              <w:spacing w:line="420" w:lineRule="exact"/>
              <w:jc w:val="center"/>
              <w:rPr>
                <w:rFonts w:ascii="宋体"/>
                <w:bCs/>
                <w:color w:val="000000"/>
              </w:rPr>
            </w:pPr>
            <w:r>
              <w:rPr>
                <w:rFonts w:hint="eastAsia" w:ascii="宋体" w:hAnsi="宋体"/>
                <w:bCs/>
              </w:rPr>
              <w:t>9人</w:t>
            </w:r>
          </w:p>
        </w:tc>
        <w:tc>
          <w:tcPr>
            <w:tcW w:w="899" w:type="dxa"/>
            <w:tcBorders>
              <w:top w:val="single" w:color="000000" w:sz="4" w:space="0"/>
              <w:left w:val="nil"/>
              <w:bottom w:val="single" w:color="auto" w:sz="4" w:space="0"/>
              <w:right w:val="single" w:color="auto" w:sz="4" w:space="0"/>
            </w:tcBorders>
            <w:vAlign w:val="center"/>
          </w:tcPr>
          <w:p>
            <w:pPr>
              <w:spacing w:line="420" w:lineRule="exact"/>
              <w:jc w:val="center"/>
              <w:rPr>
                <w:rFonts w:ascii="宋体"/>
                <w:bCs/>
                <w:color w:val="000000"/>
              </w:rPr>
            </w:pPr>
            <w:r>
              <w:rPr>
                <w:rFonts w:ascii="宋体" w:hAnsi="宋体"/>
                <w:bCs/>
              </w:rPr>
              <w:t>3</w:t>
            </w:r>
            <w:r>
              <w:rPr>
                <w:rFonts w:hint="eastAsia" w:ascii="宋体" w:hAnsi="宋体"/>
                <w:bCs/>
              </w:rPr>
              <w:t>0人</w:t>
            </w:r>
          </w:p>
        </w:tc>
        <w:tc>
          <w:tcPr>
            <w:tcW w:w="850"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ascii="宋体" w:hAnsi="宋体"/>
                <w:bCs/>
              </w:rPr>
              <w:t>27</w:t>
            </w:r>
            <w:r>
              <w:rPr>
                <w:rFonts w:hint="eastAsia" w:ascii="宋体" w:hAnsi="宋体"/>
                <w:bCs/>
              </w:rPr>
              <w:t>人</w:t>
            </w:r>
          </w:p>
        </w:tc>
        <w:tc>
          <w:tcPr>
            <w:tcW w:w="851"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ascii="宋体" w:hAnsi="宋体"/>
                <w:bCs/>
              </w:rPr>
              <w:t>1</w:t>
            </w:r>
            <w:r>
              <w:rPr>
                <w:rFonts w:hint="eastAsia" w:ascii="宋体" w:hAnsi="宋体"/>
                <w:bCs/>
              </w:rPr>
              <w:t>6人</w:t>
            </w:r>
          </w:p>
        </w:tc>
        <w:tc>
          <w:tcPr>
            <w:tcW w:w="708"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ascii="宋体"/>
                <w:bCs/>
              </w:rPr>
              <w:t>0</w:t>
            </w:r>
            <w:r>
              <w:rPr>
                <w:rFonts w:hint="eastAsia" w:ascii="宋体" w:hAnsi="宋体"/>
                <w:bCs/>
              </w:rPr>
              <w:t>人</w:t>
            </w:r>
          </w:p>
        </w:tc>
        <w:tc>
          <w:tcPr>
            <w:tcW w:w="851"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ascii="宋体"/>
                <w:bCs/>
                <w:color w:val="000000"/>
              </w:rPr>
              <w:t>1</w:t>
            </w:r>
            <w:r>
              <w:rPr>
                <w:rFonts w:hint="eastAsia" w:ascii="宋体"/>
                <w:bCs/>
                <w:color w:val="000000"/>
              </w:rPr>
              <w:t>3</w:t>
            </w:r>
            <w:r>
              <w:rPr>
                <w:rFonts w:ascii="宋体"/>
                <w:bCs/>
                <w:color w:val="000000"/>
              </w:rPr>
              <w:t>.</w:t>
            </w:r>
            <w:r>
              <w:rPr>
                <w:rFonts w:hint="eastAsia" w:ascii="宋体"/>
                <w:bCs/>
                <w:color w:val="000000"/>
              </w:rPr>
              <w:t>2：</w:t>
            </w:r>
            <w:r>
              <w:rPr>
                <w:rFonts w:ascii="宋体"/>
                <w:bCs/>
                <w:color w:val="000000"/>
              </w:rPr>
              <w:t>1</w:t>
            </w:r>
          </w:p>
        </w:tc>
      </w:tr>
      <w:tr>
        <w:tblPrEx>
          <w:tblCellMar>
            <w:top w:w="0" w:type="dxa"/>
            <w:left w:w="108" w:type="dxa"/>
            <w:bottom w:w="0" w:type="dxa"/>
            <w:right w:w="108" w:type="dxa"/>
          </w:tblCellMar>
        </w:tblPrEx>
        <w:trPr>
          <w:trHeight w:val="270" w:hRule="atLeast"/>
          <w:jc w:val="center"/>
        </w:trPr>
        <w:tc>
          <w:tcPr>
            <w:tcW w:w="1135" w:type="dxa"/>
            <w:vMerge w:val="continue"/>
            <w:tcBorders>
              <w:top w:val="nil"/>
              <w:left w:val="single" w:color="000000" w:sz="4" w:space="0"/>
              <w:bottom w:val="single" w:color="000000" w:sz="4" w:space="0"/>
              <w:right w:val="single" w:color="auto" w:sz="4" w:space="0"/>
            </w:tcBorders>
            <w:vAlign w:val="center"/>
          </w:tcPr>
          <w:p>
            <w:pPr>
              <w:widowControl/>
              <w:adjustRightInd w:val="0"/>
              <w:snapToGrid w:val="0"/>
              <w:jc w:val="center"/>
              <w:rPr>
                <w:rFonts w:ascii="宋体"/>
                <w:color w:val="000000"/>
                <w:kern w:val="0"/>
              </w:rPr>
            </w:pPr>
          </w:p>
        </w:tc>
        <w:tc>
          <w:tcPr>
            <w:tcW w:w="761" w:type="dxa"/>
            <w:vMerge w:val="continue"/>
            <w:tcBorders>
              <w:left w:val="nil"/>
              <w:bottom w:val="single" w:color="auto" w:sz="4" w:space="0"/>
              <w:right w:val="single" w:color="auto" w:sz="4" w:space="0"/>
            </w:tcBorders>
            <w:vAlign w:val="center"/>
          </w:tcPr>
          <w:p>
            <w:pPr>
              <w:widowControl/>
              <w:spacing w:line="420" w:lineRule="exact"/>
              <w:jc w:val="center"/>
              <w:rPr>
                <w:rFonts w:ascii="宋体"/>
                <w:kern w:val="0"/>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color w:val="000000"/>
                <w:kern w:val="0"/>
              </w:rPr>
            </w:pPr>
            <w:r>
              <w:rPr>
                <w:rFonts w:hint="eastAsia" w:ascii="宋体" w:hAnsi="宋体"/>
                <w:kern w:val="0"/>
              </w:rPr>
              <w:t>比例</w:t>
            </w:r>
          </w:p>
        </w:tc>
        <w:tc>
          <w:tcPr>
            <w:tcW w:w="851" w:type="dxa"/>
            <w:tcBorders>
              <w:top w:val="single" w:color="auto" w:sz="4" w:space="0"/>
              <w:left w:val="single" w:color="auto" w:sz="4" w:space="0"/>
              <w:bottom w:val="single" w:color="000000" w:sz="4" w:space="0"/>
              <w:right w:val="single" w:color="auto" w:sz="4" w:space="0"/>
            </w:tcBorders>
            <w:vAlign w:val="center"/>
          </w:tcPr>
          <w:p>
            <w:pPr>
              <w:spacing w:line="420" w:lineRule="exact"/>
              <w:jc w:val="center"/>
              <w:rPr>
                <w:rFonts w:ascii="宋体"/>
                <w:bCs/>
                <w:color w:val="000000"/>
              </w:rPr>
            </w:pPr>
            <w:r>
              <w:rPr>
                <w:rFonts w:ascii="宋体" w:hAnsi="宋体"/>
                <w:bCs/>
                <w:color w:val="000000"/>
              </w:rPr>
              <w:t>1.5%</w:t>
            </w:r>
          </w:p>
        </w:tc>
        <w:tc>
          <w:tcPr>
            <w:tcW w:w="780" w:type="dxa"/>
            <w:tcBorders>
              <w:top w:val="single" w:color="auto"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ascii="宋体" w:hAnsi="宋体"/>
                <w:bCs/>
                <w:color w:val="000000"/>
              </w:rPr>
              <w:t>96.7%</w:t>
            </w:r>
          </w:p>
        </w:tc>
        <w:tc>
          <w:tcPr>
            <w:tcW w:w="779"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ascii="宋体" w:hAnsi="宋体"/>
                <w:bCs/>
                <w:color w:val="000000"/>
              </w:rPr>
              <w:t>1.5%</w:t>
            </w:r>
          </w:p>
        </w:tc>
        <w:tc>
          <w:tcPr>
            <w:tcW w:w="850" w:type="dxa"/>
            <w:tcBorders>
              <w:top w:val="single" w:color="auto"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hint="eastAsia" w:ascii="宋体" w:hAnsi="宋体"/>
                <w:bCs/>
                <w:color w:val="000000"/>
              </w:rPr>
              <w:t>13.6</w:t>
            </w:r>
            <w:r>
              <w:rPr>
                <w:rFonts w:ascii="宋体" w:hAnsi="宋体"/>
                <w:bCs/>
                <w:color w:val="000000"/>
              </w:rPr>
              <w:t>%</w:t>
            </w:r>
          </w:p>
        </w:tc>
        <w:tc>
          <w:tcPr>
            <w:tcW w:w="899" w:type="dxa"/>
            <w:tcBorders>
              <w:top w:val="single" w:color="auto"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hint="eastAsia" w:ascii="宋体" w:hAnsi="宋体"/>
                <w:bCs/>
                <w:color w:val="000000"/>
              </w:rPr>
              <w:t>45.5</w:t>
            </w:r>
            <w:r>
              <w:rPr>
                <w:rFonts w:ascii="宋体" w:hAnsi="宋体"/>
                <w:bCs/>
                <w:color w:val="000000"/>
              </w:rPr>
              <w:t>%</w:t>
            </w:r>
          </w:p>
        </w:tc>
        <w:tc>
          <w:tcPr>
            <w:tcW w:w="850"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ascii="宋体" w:hAnsi="宋体"/>
                <w:bCs/>
                <w:color w:val="000000"/>
              </w:rPr>
              <w:t>40.9%</w:t>
            </w:r>
          </w:p>
        </w:tc>
        <w:tc>
          <w:tcPr>
            <w:tcW w:w="851"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hint="eastAsia" w:ascii="宋体" w:hAnsi="宋体"/>
                <w:bCs/>
                <w:color w:val="000000"/>
              </w:rPr>
              <w:t>88.9</w:t>
            </w:r>
            <w:r>
              <w:rPr>
                <w:rFonts w:ascii="宋体" w:hAnsi="宋体"/>
                <w:bCs/>
                <w:color w:val="000000"/>
              </w:rPr>
              <w:t>%</w:t>
            </w:r>
          </w:p>
        </w:tc>
        <w:tc>
          <w:tcPr>
            <w:tcW w:w="708"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ascii="宋体"/>
                <w:bCs/>
                <w:color w:val="000000"/>
              </w:rPr>
              <w:t>0</w:t>
            </w:r>
          </w:p>
        </w:tc>
        <w:tc>
          <w:tcPr>
            <w:tcW w:w="851"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p>
        </w:tc>
      </w:tr>
      <w:tr>
        <w:tblPrEx>
          <w:tblCellMar>
            <w:top w:w="0" w:type="dxa"/>
            <w:left w:w="108" w:type="dxa"/>
            <w:bottom w:w="0" w:type="dxa"/>
            <w:right w:w="108" w:type="dxa"/>
          </w:tblCellMar>
        </w:tblPrEx>
        <w:trPr>
          <w:trHeight w:val="390" w:hRule="atLeast"/>
          <w:jc w:val="center"/>
        </w:trPr>
        <w:tc>
          <w:tcPr>
            <w:tcW w:w="1135" w:type="dxa"/>
            <w:vMerge w:val="restart"/>
            <w:tcBorders>
              <w:top w:val="nil"/>
              <w:left w:val="single" w:color="000000" w:sz="4" w:space="0"/>
              <w:bottom w:val="single" w:color="000000" w:sz="4" w:space="0"/>
              <w:right w:val="single" w:color="auto" w:sz="4" w:space="0"/>
            </w:tcBorders>
            <w:vAlign w:val="center"/>
          </w:tcPr>
          <w:p>
            <w:pPr>
              <w:widowControl/>
              <w:adjustRightInd w:val="0"/>
              <w:snapToGrid w:val="0"/>
              <w:jc w:val="center"/>
              <w:rPr>
                <w:rFonts w:ascii="宋体"/>
                <w:color w:val="000000"/>
                <w:kern w:val="0"/>
              </w:rPr>
            </w:pPr>
            <w:r>
              <w:rPr>
                <w:rFonts w:ascii="宋体" w:hAnsi="宋体"/>
                <w:kern w:val="0"/>
              </w:rPr>
              <w:t>20</w:t>
            </w:r>
            <w:r>
              <w:rPr>
                <w:rFonts w:hint="eastAsia" w:ascii="宋体" w:hAnsi="宋体"/>
                <w:kern w:val="0"/>
              </w:rPr>
              <w:t>19</w:t>
            </w:r>
            <w:r>
              <w:rPr>
                <w:rFonts w:ascii="宋体"/>
                <w:kern w:val="0"/>
              </w:rPr>
              <w:t>-</w:t>
            </w:r>
          </w:p>
          <w:p>
            <w:pPr>
              <w:widowControl/>
              <w:adjustRightInd w:val="0"/>
              <w:snapToGrid w:val="0"/>
              <w:jc w:val="center"/>
              <w:rPr>
                <w:rFonts w:ascii="宋体"/>
                <w:color w:val="000000"/>
                <w:kern w:val="0"/>
              </w:rPr>
            </w:pPr>
            <w:r>
              <w:rPr>
                <w:rFonts w:ascii="宋体" w:hAnsi="宋体"/>
                <w:kern w:val="0"/>
              </w:rPr>
              <w:t>20</w:t>
            </w:r>
            <w:r>
              <w:rPr>
                <w:rFonts w:hint="eastAsia" w:ascii="宋体" w:hAnsi="宋体"/>
                <w:kern w:val="0"/>
              </w:rPr>
              <w:t>20学年</w:t>
            </w:r>
          </w:p>
        </w:tc>
        <w:tc>
          <w:tcPr>
            <w:tcW w:w="761" w:type="dxa"/>
            <w:vMerge w:val="restart"/>
            <w:tcBorders>
              <w:top w:val="single" w:color="auto" w:sz="4" w:space="0"/>
              <w:left w:val="nil"/>
              <w:right w:val="single" w:color="auto" w:sz="4" w:space="0"/>
            </w:tcBorders>
            <w:vAlign w:val="center"/>
          </w:tcPr>
          <w:p>
            <w:pPr>
              <w:widowControl/>
              <w:spacing w:line="420" w:lineRule="exact"/>
              <w:jc w:val="center"/>
              <w:rPr>
                <w:rFonts w:ascii="宋体"/>
                <w:kern w:val="0"/>
              </w:rPr>
            </w:pPr>
            <w:r>
              <w:rPr>
                <w:rFonts w:ascii="宋体" w:hAnsi="宋体"/>
                <w:kern w:val="0"/>
              </w:rPr>
              <w:t>6</w:t>
            </w:r>
            <w:r>
              <w:rPr>
                <w:rFonts w:hint="eastAsia" w:ascii="宋体" w:hAnsi="宋体"/>
                <w:kern w:val="0"/>
              </w:rPr>
              <w:t>3</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color w:val="000000"/>
                <w:kern w:val="0"/>
              </w:rPr>
            </w:pPr>
            <w:r>
              <w:rPr>
                <w:rFonts w:hint="eastAsia" w:ascii="宋体" w:hAnsi="宋体"/>
                <w:kern w:val="0"/>
              </w:rPr>
              <w:t>数量</w:t>
            </w:r>
          </w:p>
        </w:tc>
        <w:tc>
          <w:tcPr>
            <w:tcW w:w="851" w:type="dxa"/>
            <w:tcBorders>
              <w:top w:val="single" w:color="000000" w:sz="4" w:space="0"/>
              <w:left w:val="single" w:color="auto" w:sz="4" w:space="0"/>
              <w:bottom w:val="single" w:color="auto" w:sz="4" w:space="0"/>
              <w:right w:val="single" w:color="auto" w:sz="4" w:space="0"/>
            </w:tcBorders>
            <w:vAlign w:val="center"/>
          </w:tcPr>
          <w:p>
            <w:pPr>
              <w:spacing w:line="420" w:lineRule="exact"/>
              <w:jc w:val="center"/>
              <w:rPr>
                <w:rFonts w:ascii="宋体"/>
                <w:bCs/>
                <w:color w:val="000000"/>
              </w:rPr>
            </w:pPr>
            <w:r>
              <w:rPr>
                <w:rFonts w:ascii="宋体" w:hAnsi="宋体"/>
                <w:bCs/>
              </w:rPr>
              <w:t>1</w:t>
            </w:r>
            <w:r>
              <w:rPr>
                <w:rFonts w:hint="eastAsia" w:ascii="宋体" w:hAnsi="宋体"/>
                <w:bCs/>
              </w:rPr>
              <w:t>人</w:t>
            </w:r>
          </w:p>
        </w:tc>
        <w:tc>
          <w:tcPr>
            <w:tcW w:w="780" w:type="dxa"/>
            <w:tcBorders>
              <w:top w:val="single" w:color="000000" w:sz="4" w:space="0"/>
              <w:left w:val="nil"/>
              <w:bottom w:val="single" w:color="auto" w:sz="4" w:space="0"/>
              <w:right w:val="single" w:color="auto" w:sz="4" w:space="0"/>
            </w:tcBorders>
            <w:vAlign w:val="center"/>
          </w:tcPr>
          <w:p>
            <w:pPr>
              <w:spacing w:line="420" w:lineRule="exact"/>
              <w:jc w:val="center"/>
              <w:rPr>
                <w:rFonts w:ascii="宋体"/>
                <w:bCs/>
                <w:color w:val="000000"/>
              </w:rPr>
            </w:pPr>
            <w:r>
              <w:rPr>
                <w:rFonts w:ascii="宋体" w:hAnsi="宋体"/>
                <w:bCs/>
              </w:rPr>
              <w:t>6</w:t>
            </w:r>
            <w:r>
              <w:rPr>
                <w:rFonts w:hint="eastAsia" w:ascii="宋体" w:hAnsi="宋体"/>
                <w:bCs/>
              </w:rPr>
              <w:t>2人</w:t>
            </w:r>
          </w:p>
        </w:tc>
        <w:tc>
          <w:tcPr>
            <w:tcW w:w="779"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hint="eastAsia" w:ascii="宋体"/>
                <w:bCs/>
              </w:rPr>
              <w:t>0</w:t>
            </w:r>
            <w:r>
              <w:rPr>
                <w:rFonts w:hint="eastAsia" w:ascii="宋体" w:hAnsi="宋体"/>
                <w:bCs/>
              </w:rPr>
              <w:t>人</w:t>
            </w:r>
          </w:p>
        </w:tc>
        <w:tc>
          <w:tcPr>
            <w:tcW w:w="850" w:type="dxa"/>
            <w:tcBorders>
              <w:top w:val="single" w:color="000000" w:sz="4" w:space="0"/>
              <w:left w:val="nil"/>
              <w:bottom w:val="single" w:color="auto" w:sz="4" w:space="0"/>
              <w:right w:val="single" w:color="auto" w:sz="4" w:space="0"/>
            </w:tcBorders>
            <w:vAlign w:val="center"/>
          </w:tcPr>
          <w:p>
            <w:pPr>
              <w:spacing w:line="420" w:lineRule="exact"/>
              <w:jc w:val="center"/>
              <w:rPr>
                <w:rFonts w:ascii="宋体"/>
                <w:bCs/>
                <w:color w:val="000000"/>
              </w:rPr>
            </w:pPr>
            <w:r>
              <w:rPr>
                <w:rFonts w:ascii="宋体" w:hAnsi="宋体"/>
                <w:bCs/>
              </w:rPr>
              <w:t>9</w:t>
            </w:r>
            <w:r>
              <w:rPr>
                <w:rFonts w:hint="eastAsia" w:ascii="宋体" w:hAnsi="宋体"/>
                <w:bCs/>
              </w:rPr>
              <w:t>人</w:t>
            </w:r>
          </w:p>
        </w:tc>
        <w:tc>
          <w:tcPr>
            <w:tcW w:w="899" w:type="dxa"/>
            <w:tcBorders>
              <w:top w:val="single" w:color="000000" w:sz="4" w:space="0"/>
              <w:left w:val="nil"/>
              <w:bottom w:val="single" w:color="auto" w:sz="4" w:space="0"/>
              <w:right w:val="single" w:color="auto" w:sz="4" w:space="0"/>
            </w:tcBorders>
            <w:vAlign w:val="center"/>
          </w:tcPr>
          <w:p>
            <w:pPr>
              <w:spacing w:line="420" w:lineRule="exact"/>
              <w:jc w:val="center"/>
              <w:rPr>
                <w:rFonts w:ascii="宋体"/>
                <w:bCs/>
                <w:color w:val="000000"/>
              </w:rPr>
            </w:pPr>
            <w:r>
              <w:rPr>
                <w:rFonts w:ascii="宋体" w:hAnsi="宋体"/>
                <w:bCs/>
              </w:rPr>
              <w:t>2</w:t>
            </w:r>
            <w:r>
              <w:rPr>
                <w:rFonts w:hint="eastAsia" w:ascii="宋体" w:hAnsi="宋体"/>
                <w:bCs/>
              </w:rPr>
              <w:t>7人</w:t>
            </w:r>
          </w:p>
        </w:tc>
        <w:tc>
          <w:tcPr>
            <w:tcW w:w="850"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ascii="宋体" w:hAnsi="宋体"/>
                <w:bCs/>
              </w:rPr>
              <w:t>2</w:t>
            </w:r>
            <w:r>
              <w:rPr>
                <w:rFonts w:hint="eastAsia" w:ascii="宋体" w:hAnsi="宋体"/>
                <w:bCs/>
              </w:rPr>
              <w:t>7人</w:t>
            </w:r>
          </w:p>
        </w:tc>
        <w:tc>
          <w:tcPr>
            <w:tcW w:w="851"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ascii="宋体" w:hAnsi="宋体"/>
                <w:bCs/>
              </w:rPr>
              <w:t>16</w:t>
            </w:r>
            <w:r>
              <w:rPr>
                <w:rFonts w:hint="eastAsia" w:ascii="宋体" w:hAnsi="宋体"/>
                <w:bCs/>
              </w:rPr>
              <w:t>人</w:t>
            </w:r>
          </w:p>
        </w:tc>
        <w:tc>
          <w:tcPr>
            <w:tcW w:w="708" w:type="dxa"/>
            <w:tcBorders>
              <w:top w:val="single" w:color="000000" w:sz="4" w:space="0"/>
              <w:left w:val="nil"/>
              <w:bottom w:val="single" w:color="auto" w:sz="4" w:space="0"/>
              <w:right w:val="single" w:color="000000" w:sz="4" w:space="0"/>
            </w:tcBorders>
            <w:vAlign w:val="center"/>
          </w:tcPr>
          <w:p>
            <w:pPr>
              <w:spacing w:line="420" w:lineRule="exact"/>
              <w:jc w:val="center"/>
              <w:rPr>
                <w:rFonts w:ascii="宋体"/>
                <w:bCs/>
                <w:color w:val="000000"/>
              </w:rPr>
            </w:pPr>
            <w:r>
              <w:rPr>
                <w:rFonts w:ascii="宋体"/>
                <w:bCs/>
              </w:rPr>
              <w:t>0</w:t>
            </w:r>
            <w:r>
              <w:rPr>
                <w:rFonts w:hint="eastAsia" w:ascii="宋体" w:hAnsi="宋体"/>
                <w:bCs/>
              </w:rPr>
              <w:t>人</w:t>
            </w:r>
          </w:p>
        </w:tc>
        <w:tc>
          <w:tcPr>
            <w:tcW w:w="851" w:type="dxa"/>
            <w:tcBorders>
              <w:top w:val="single" w:color="000000" w:sz="4" w:space="0"/>
              <w:left w:val="nil"/>
              <w:bottom w:val="single" w:color="auto" w:sz="4" w:space="0"/>
              <w:right w:val="single" w:color="000000" w:sz="4" w:space="0"/>
            </w:tcBorders>
            <w:vAlign w:val="center"/>
          </w:tcPr>
          <w:p>
            <w:pPr>
              <w:spacing w:line="280" w:lineRule="exact"/>
              <w:jc w:val="center"/>
              <w:rPr>
                <w:rFonts w:ascii="宋体"/>
                <w:bCs/>
                <w:color w:val="000000"/>
              </w:rPr>
            </w:pPr>
            <w:r>
              <w:rPr>
                <w:rFonts w:ascii="宋体" w:hAnsi="宋体"/>
                <w:bCs/>
                <w:color w:val="000000"/>
              </w:rPr>
              <w:t>1</w:t>
            </w:r>
            <w:r>
              <w:rPr>
                <w:rFonts w:hint="eastAsia" w:ascii="宋体" w:hAnsi="宋体"/>
                <w:bCs/>
                <w:color w:val="000000"/>
              </w:rPr>
              <w:t>4</w:t>
            </w:r>
            <w:r>
              <w:rPr>
                <w:rFonts w:ascii="宋体" w:hAnsi="宋体"/>
                <w:bCs/>
                <w:color w:val="000000"/>
              </w:rPr>
              <w:t>.9</w:t>
            </w:r>
            <w:r>
              <w:rPr>
                <w:rFonts w:hint="eastAsia" w:ascii="宋体" w:hAnsi="宋体"/>
                <w:bCs/>
                <w:color w:val="000000"/>
              </w:rPr>
              <w:t>7：</w:t>
            </w:r>
            <w:r>
              <w:rPr>
                <w:rFonts w:ascii="宋体" w:hAnsi="宋体"/>
                <w:bCs/>
                <w:color w:val="000000"/>
              </w:rPr>
              <w:t>1</w:t>
            </w:r>
          </w:p>
        </w:tc>
      </w:tr>
      <w:tr>
        <w:tblPrEx>
          <w:tblCellMar>
            <w:top w:w="0" w:type="dxa"/>
            <w:left w:w="108" w:type="dxa"/>
            <w:bottom w:w="0" w:type="dxa"/>
            <w:right w:w="108" w:type="dxa"/>
          </w:tblCellMar>
        </w:tblPrEx>
        <w:trPr>
          <w:trHeight w:val="225" w:hRule="atLeast"/>
          <w:jc w:val="center"/>
        </w:trPr>
        <w:tc>
          <w:tcPr>
            <w:tcW w:w="1135" w:type="dxa"/>
            <w:vMerge w:val="continue"/>
            <w:tcBorders>
              <w:top w:val="nil"/>
              <w:left w:val="single" w:color="000000" w:sz="4" w:space="0"/>
              <w:bottom w:val="single" w:color="000000" w:sz="4" w:space="0"/>
              <w:right w:val="single" w:color="auto" w:sz="4" w:space="0"/>
            </w:tcBorders>
            <w:vAlign w:val="center"/>
          </w:tcPr>
          <w:p>
            <w:pPr>
              <w:widowControl/>
              <w:jc w:val="center"/>
              <w:rPr>
                <w:rFonts w:ascii="宋体"/>
                <w:color w:val="000000"/>
                <w:kern w:val="0"/>
              </w:rPr>
            </w:pPr>
          </w:p>
        </w:tc>
        <w:tc>
          <w:tcPr>
            <w:tcW w:w="761" w:type="dxa"/>
            <w:vMerge w:val="continue"/>
            <w:tcBorders>
              <w:left w:val="nil"/>
              <w:bottom w:val="single" w:color="auto" w:sz="4" w:space="0"/>
              <w:right w:val="single" w:color="auto" w:sz="4" w:space="0"/>
            </w:tcBorders>
          </w:tcPr>
          <w:p>
            <w:pPr>
              <w:widowControl/>
              <w:spacing w:line="420" w:lineRule="exact"/>
              <w:jc w:val="center"/>
              <w:rPr>
                <w:rFonts w:ascii="宋体"/>
                <w:kern w:val="0"/>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color w:val="000000"/>
                <w:kern w:val="0"/>
              </w:rPr>
            </w:pPr>
            <w:r>
              <w:rPr>
                <w:rFonts w:hint="eastAsia" w:ascii="宋体" w:hAnsi="宋体"/>
                <w:kern w:val="0"/>
              </w:rPr>
              <w:t>比例</w:t>
            </w:r>
          </w:p>
        </w:tc>
        <w:tc>
          <w:tcPr>
            <w:tcW w:w="851" w:type="dxa"/>
            <w:tcBorders>
              <w:top w:val="single" w:color="auto" w:sz="4" w:space="0"/>
              <w:left w:val="single" w:color="auto" w:sz="4" w:space="0"/>
              <w:bottom w:val="single" w:color="000000" w:sz="4" w:space="0"/>
              <w:right w:val="single" w:color="auto" w:sz="4" w:space="0"/>
            </w:tcBorders>
            <w:vAlign w:val="center"/>
          </w:tcPr>
          <w:p>
            <w:pPr>
              <w:spacing w:line="420" w:lineRule="exact"/>
              <w:jc w:val="center"/>
              <w:rPr>
                <w:rFonts w:ascii="宋体"/>
                <w:bCs/>
                <w:color w:val="000000"/>
              </w:rPr>
            </w:pPr>
            <w:r>
              <w:rPr>
                <w:rFonts w:ascii="宋体" w:hAnsi="宋体"/>
                <w:bCs/>
                <w:color w:val="000000"/>
              </w:rPr>
              <w:t>1.</w:t>
            </w:r>
            <w:r>
              <w:rPr>
                <w:rFonts w:hint="eastAsia" w:ascii="宋体" w:hAnsi="宋体"/>
                <w:bCs/>
                <w:color w:val="000000"/>
              </w:rPr>
              <w:t>59</w:t>
            </w:r>
            <w:r>
              <w:rPr>
                <w:rFonts w:ascii="宋体" w:hAnsi="宋体"/>
                <w:bCs/>
                <w:color w:val="000000"/>
              </w:rPr>
              <w:t>%</w:t>
            </w:r>
          </w:p>
        </w:tc>
        <w:tc>
          <w:tcPr>
            <w:tcW w:w="780" w:type="dxa"/>
            <w:tcBorders>
              <w:top w:val="single" w:color="auto"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ascii="宋体" w:hAnsi="宋体"/>
                <w:bCs/>
                <w:color w:val="000000"/>
              </w:rPr>
              <w:t>98.4%</w:t>
            </w:r>
          </w:p>
        </w:tc>
        <w:tc>
          <w:tcPr>
            <w:tcW w:w="779"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ascii="宋体"/>
                <w:bCs/>
                <w:color w:val="000000"/>
              </w:rPr>
              <w:t>0</w:t>
            </w:r>
          </w:p>
        </w:tc>
        <w:tc>
          <w:tcPr>
            <w:tcW w:w="850" w:type="dxa"/>
            <w:tcBorders>
              <w:top w:val="single" w:color="auto"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ascii="宋体" w:hAnsi="宋体"/>
                <w:bCs/>
                <w:color w:val="000000"/>
              </w:rPr>
              <w:t>14.</w:t>
            </w:r>
            <w:r>
              <w:rPr>
                <w:rFonts w:hint="eastAsia" w:ascii="宋体" w:hAnsi="宋体"/>
                <w:bCs/>
                <w:color w:val="000000"/>
              </w:rPr>
              <w:t>3</w:t>
            </w:r>
            <w:r>
              <w:rPr>
                <w:rFonts w:ascii="宋体" w:hAnsi="宋体"/>
                <w:bCs/>
                <w:color w:val="000000"/>
              </w:rPr>
              <w:t>%</w:t>
            </w:r>
          </w:p>
        </w:tc>
        <w:tc>
          <w:tcPr>
            <w:tcW w:w="899" w:type="dxa"/>
            <w:tcBorders>
              <w:top w:val="single" w:color="auto"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hint="eastAsia" w:ascii="宋体" w:hAnsi="宋体"/>
                <w:bCs/>
                <w:color w:val="000000"/>
              </w:rPr>
              <w:t>42.9</w:t>
            </w:r>
            <w:r>
              <w:rPr>
                <w:rFonts w:ascii="宋体" w:hAnsi="宋体"/>
                <w:bCs/>
                <w:color w:val="000000"/>
              </w:rPr>
              <w:t>%</w:t>
            </w:r>
          </w:p>
        </w:tc>
        <w:tc>
          <w:tcPr>
            <w:tcW w:w="850"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hint="eastAsia" w:ascii="宋体" w:hAnsi="宋体"/>
                <w:bCs/>
                <w:color w:val="000000"/>
              </w:rPr>
              <w:t>42.9</w:t>
            </w:r>
            <w:r>
              <w:rPr>
                <w:rFonts w:ascii="宋体" w:hAnsi="宋体"/>
                <w:bCs/>
                <w:color w:val="000000"/>
              </w:rPr>
              <w:t>%</w:t>
            </w:r>
          </w:p>
        </w:tc>
        <w:tc>
          <w:tcPr>
            <w:tcW w:w="851"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hint="eastAsia" w:ascii="宋体" w:hAnsi="宋体"/>
                <w:bCs/>
                <w:color w:val="000000"/>
              </w:rPr>
              <w:t>94.1</w:t>
            </w:r>
            <w:r>
              <w:rPr>
                <w:rFonts w:ascii="宋体" w:hAnsi="宋体"/>
                <w:bCs/>
                <w:color w:val="000000"/>
              </w:rPr>
              <w:t>%</w:t>
            </w:r>
          </w:p>
        </w:tc>
        <w:tc>
          <w:tcPr>
            <w:tcW w:w="708"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ascii="宋体"/>
                <w:bCs/>
                <w:color w:val="000000"/>
              </w:rPr>
              <w:t>0</w:t>
            </w:r>
          </w:p>
        </w:tc>
        <w:tc>
          <w:tcPr>
            <w:tcW w:w="851" w:type="dxa"/>
            <w:tcBorders>
              <w:top w:val="single" w:color="auto" w:sz="4" w:space="0"/>
              <w:left w:val="nil"/>
              <w:bottom w:val="single" w:color="000000" w:sz="4" w:space="0"/>
              <w:right w:val="single" w:color="000000" w:sz="4" w:space="0"/>
            </w:tcBorders>
            <w:vAlign w:val="center"/>
          </w:tcPr>
          <w:p>
            <w:pPr>
              <w:spacing w:line="420" w:lineRule="exact"/>
              <w:jc w:val="center"/>
              <w:rPr>
                <w:rFonts w:ascii="宋体"/>
                <w:bCs/>
                <w:color w:val="000000"/>
              </w:rPr>
            </w:pPr>
          </w:p>
        </w:tc>
      </w:tr>
      <w:tr>
        <w:tblPrEx>
          <w:tblCellMar>
            <w:top w:w="0" w:type="dxa"/>
            <w:left w:w="108" w:type="dxa"/>
            <w:bottom w:w="0" w:type="dxa"/>
            <w:right w:w="108" w:type="dxa"/>
          </w:tblCellMar>
        </w:tblPrEx>
        <w:trPr>
          <w:trHeight w:val="473" w:hRule="atLeast"/>
          <w:jc w:val="center"/>
        </w:trPr>
        <w:tc>
          <w:tcPr>
            <w:tcW w:w="1135" w:type="dxa"/>
            <w:tcBorders>
              <w:top w:val="single" w:color="000000" w:sz="4" w:space="0"/>
              <w:left w:val="single" w:color="000000" w:sz="4" w:space="0"/>
              <w:bottom w:val="single" w:color="000000" w:sz="4" w:space="0"/>
              <w:right w:val="single" w:color="auto" w:sz="4" w:space="0"/>
            </w:tcBorders>
            <w:vAlign w:val="center"/>
          </w:tcPr>
          <w:p>
            <w:pPr>
              <w:widowControl/>
              <w:spacing w:line="420" w:lineRule="exact"/>
              <w:jc w:val="center"/>
              <w:rPr>
                <w:rFonts w:ascii="宋体"/>
                <w:color w:val="000000"/>
                <w:kern w:val="0"/>
              </w:rPr>
            </w:pPr>
            <w:r>
              <w:rPr>
                <w:rFonts w:hint="eastAsia" w:ascii="宋体" w:hAnsi="宋体"/>
                <w:kern w:val="0"/>
              </w:rPr>
              <w:t>人数比增</w:t>
            </w:r>
          </w:p>
        </w:tc>
        <w:tc>
          <w:tcPr>
            <w:tcW w:w="761" w:type="dxa"/>
            <w:tcBorders>
              <w:top w:val="single" w:color="auto" w:sz="4" w:space="0"/>
              <w:left w:val="nil"/>
              <w:bottom w:val="single" w:color="auto" w:sz="4" w:space="0"/>
              <w:right w:val="single" w:color="auto" w:sz="4" w:space="0"/>
            </w:tcBorders>
            <w:vAlign w:val="center"/>
          </w:tcPr>
          <w:p>
            <w:pPr>
              <w:widowControl/>
              <w:spacing w:line="280" w:lineRule="exact"/>
              <w:jc w:val="center"/>
              <w:rPr>
                <w:rFonts w:ascii="宋体"/>
                <w:color w:val="000000"/>
                <w:kern w:val="0"/>
              </w:rPr>
            </w:pPr>
            <w:r>
              <w:rPr>
                <w:rFonts w:hint="eastAsia" w:ascii="宋体"/>
                <w:color w:val="000000"/>
                <w:kern w:val="0"/>
              </w:rPr>
              <w:t>-4.55%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color w:val="000000"/>
                <w:kern w:val="0"/>
              </w:rPr>
            </w:pPr>
          </w:p>
        </w:tc>
        <w:tc>
          <w:tcPr>
            <w:tcW w:w="851" w:type="dxa"/>
            <w:tcBorders>
              <w:top w:val="single" w:color="000000" w:sz="4" w:space="0"/>
              <w:left w:val="single" w:color="auto" w:sz="4" w:space="0"/>
              <w:bottom w:val="single" w:color="000000" w:sz="4" w:space="0"/>
              <w:right w:val="single" w:color="auto" w:sz="4" w:space="0"/>
            </w:tcBorders>
            <w:vAlign w:val="center"/>
          </w:tcPr>
          <w:p>
            <w:pPr>
              <w:spacing w:line="420" w:lineRule="exact"/>
              <w:jc w:val="center"/>
              <w:rPr>
                <w:rFonts w:ascii="宋体"/>
                <w:bCs/>
                <w:color w:val="000000"/>
              </w:rPr>
            </w:pPr>
            <w:r>
              <w:rPr>
                <w:rFonts w:hint="eastAsia" w:ascii="宋体"/>
                <w:bCs/>
                <w:color w:val="000000"/>
              </w:rPr>
              <w:t>6</w:t>
            </w:r>
            <w:r>
              <w:rPr>
                <w:rFonts w:ascii="宋体"/>
                <w:bCs/>
                <w:color w:val="000000"/>
              </w:rPr>
              <w:t>%</w:t>
            </w:r>
          </w:p>
        </w:tc>
        <w:tc>
          <w:tcPr>
            <w:tcW w:w="780" w:type="dxa"/>
            <w:tcBorders>
              <w:top w:val="single" w:color="000000"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ascii="宋体"/>
                <w:bCs/>
                <w:color w:val="000000"/>
              </w:rPr>
              <w:t>1.7</w:t>
            </w:r>
            <w:r>
              <w:rPr>
                <w:rFonts w:hint="eastAsia" w:ascii="宋体"/>
                <w:bCs/>
                <w:color w:val="000000"/>
              </w:rPr>
              <w:t>6</w:t>
            </w:r>
            <w:r>
              <w:rPr>
                <w:rFonts w:ascii="宋体"/>
                <w:bCs/>
                <w:color w:val="000000"/>
              </w:rPr>
              <w:t>%</w:t>
            </w:r>
          </w:p>
        </w:tc>
        <w:tc>
          <w:tcPr>
            <w:tcW w:w="779" w:type="dxa"/>
            <w:tcBorders>
              <w:top w:val="single" w:color="000000"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ascii="宋体"/>
                <w:bCs/>
                <w:color w:val="000000"/>
              </w:rPr>
              <w:t>-</w:t>
            </w:r>
            <w:r>
              <w:rPr>
                <w:rFonts w:hint="eastAsia" w:ascii="宋体"/>
                <w:bCs/>
                <w:color w:val="000000"/>
              </w:rPr>
              <w:t>100</w:t>
            </w:r>
            <w:r>
              <w:rPr>
                <w:rFonts w:ascii="宋体"/>
                <w:bCs/>
                <w:color w:val="000000"/>
              </w:rPr>
              <w:t>%</w:t>
            </w:r>
          </w:p>
        </w:tc>
        <w:tc>
          <w:tcPr>
            <w:tcW w:w="850" w:type="dxa"/>
            <w:tcBorders>
              <w:top w:val="single" w:color="000000"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ascii="宋体"/>
                <w:bCs/>
                <w:color w:val="000000"/>
              </w:rPr>
              <w:t>5</w:t>
            </w:r>
            <w:r>
              <w:rPr>
                <w:rFonts w:hint="eastAsia" w:ascii="宋体"/>
                <w:bCs/>
                <w:color w:val="000000"/>
              </w:rPr>
              <w:t>.1</w:t>
            </w:r>
            <w:r>
              <w:rPr>
                <w:rFonts w:ascii="宋体"/>
                <w:bCs/>
                <w:color w:val="000000"/>
              </w:rPr>
              <w:t>%</w:t>
            </w:r>
          </w:p>
        </w:tc>
        <w:tc>
          <w:tcPr>
            <w:tcW w:w="899" w:type="dxa"/>
            <w:tcBorders>
              <w:top w:val="single" w:color="000000" w:sz="4" w:space="0"/>
              <w:left w:val="nil"/>
              <w:bottom w:val="single" w:color="000000" w:sz="4" w:space="0"/>
              <w:right w:val="single" w:color="auto" w:sz="4" w:space="0"/>
            </w:tcBorders>
            <w:vAlign w:val="center"/>
          </w:tcPr>
          <w:p>
            <w:pPr>
              <w:spacing w:line="420" w:lineRule="exact"/>
              <w:jc w:val="center"/>
              <w:rPr>
                <w:rFonts w:ascii="宋体"/>
                <w:bCs/>
                <w:color w:val="000000"/>
              </w:rPr>
            </w:pPr>
            <w:r>
              <w:rPr>
                <w:rFonts w:ascii="宋体"/>
                <w:bCs/>
                <w:color w:val="000000"/>
              </w:rPr>
              <w:t>-</w:t>
            </w:r>
            <w:r>
              <w:rPr>
                <w:rFonts w:hint="eastAsia" w:ascii="宋体"/>
                <w:bCs/>
                <w:color w:val="000000"/>
              </w:rPr>
              <w:t>5</w:t>
            </w:r>
            <w:r>
              <w:rPr>
                <w:rFonts w:ascii="宋体"/>
                <w:bCs/>
                <w:color w:val="000000"/>
              </w:rPr>
              <w:t>.7</w:t>
            </w:r>
            <w:r>
              <w:rPr>
                <w:rFonts w:hint="eastAsia" w:ascii="宋体"/>
                <w:bCs/>
                <w:color w:val="000000"/>
              </w:rPr>
              <w:t>1</w:t>
            </w:r>
            <w:r>
              <w:rPr>
                <w:rFonts w:ascii="宋体"/>
                <w:bCs/>
                <w:color w:val="000000"/>
              </w:rPr>
              <w:t>%</w:t>
            </w:r>
          </w:p>
        </w:tc>
        <w:tc>
          <w:tcPr>
            <w:tcW w:w="850" w:type="dxa"/>
            <w:tcBorders>
              <w:top w:val="single" w:color="000000"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hint="eastAsia" w:ascii="宋体"/>
                <w:bCs/>
                <w:color w:val="000000"/>
              </w:rPr>
              <w:t>4.89%</w:t>
            </w:r>
          </w:p>
        </w:tc>
        <w:tc>
          <w:tcPr>
            <w:tcW w:w="851" w:type="dxa"/>
            <w:tcBorders>
              <w:top w:val="single" w:color="000000"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ascii="宋体"/>
                <w:bCs/>
                <w:color w:val="000000"/>
              </w:rPr>
              <w:t>5.</w:t>
            </w:r>
            <w:r>
              <w:rPr>
                <w:rFonts w:hint="eastAsia" w:ascii="宋体"/>
                <w:bCs/>
                <w:color w:val="000000"/>
              </w:rPr>
              <w:t>85</w:t>
            </w:r>
            <w:r>
              <w:rPr>
                <w:rFonts w:ascii="宋体"/>
                <w:bCs/>
                <w:color w:val="000000"/>
              </w:rPr>
              <w:t>%</w:t>
            </w:r>
          </w:p>
        </w:tc>
        <w:tc>
          <w:tcPr>
            <w:tcW w:w="708" w:type="dxa"/>
            <w:tcBorders>
              <w:top w:val="single" w:color="000000"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ascii="宋体"/>
                <w:bCs/>
                <w:color w:val="000000"/>
              </w:rPr>
              <w:t>0</w:t>
            </w:r>
          </w:p>
        </w:tc>
        <w:tc>
          <w:tcPr>
            <w:tcW w:w="851" w:type="dxa"/>
            <w:tcBorders>
              <w:top w:val="single" w:color="000000" w:sz="4" w:space="0"/>
              <w:left w:val="nil"/>
              <w:bottom w:val="single" w:color="000000" w:sz="4" w:space="0"/>
              <w:right w:val="single" w:color="000000" w:sz="4" w:space="0"/>
            </w:tcBorders>
            <w:vAlign w:val="center"/>
          </w:tcPr>
          <w:p>
            <w:pPr>
              <w:spacing w:line="420" w:lineRule="exact"/>
              <w:jc w:val="center"/>
              <w:rPr>
                <w:rFonts w:ascii="宋体"/>
                <w:bCs/>
                <w:color w:val="000000"/>
              </w:rPr>
            </w:pPr>
            <w:r>
              <w:rPr>
                <w:rFonts w:hint="eastAsia" w:ascii="宋体" w:hAnsi="宋体"/>
                <w:bCs/>
                <w:color w:val="000000"/>
              </w:rPr>
              <w:t>13.41</w:t>
            </w:r>
            <w:r>
              <w:rPr>
                <w:rFonts w:ascii="宋体" w:hAnsi="宋体"/>
                <w:bCs/>
                <w:color w:val="000000"/>
              </w:rPr>
              <w:t>%</w:t>
            </w:r>
          </w:p>
        </w:tc>
      </w:tr>
    </w:tbl>
    <w:p>
      <w:pPr>
        <w:spacing w:line="400" w:lineRule="exact"/>
        <w:ind w:firstLine="409" w:firstLineChars="195"/>
        <w:rPr>
          <w:rFonts w:ascii="宋体"/>
          <w:b/>
          <w:sz w:val="28"/>
          <w:szCs w:val="28"/>
        </w:rPr>
      </w:pPr>
      <w:r>
        <w:rPr>
          <w:rFonts w:hint="eastAsia" w:ascii="宋体"/>
        </w:rPr>
        <w:t>表</w:t>
      </w:r>
      <w:r>
        <w:rPr>
          <w:rFonts w:ascii="宋体"/>
        </w:rPr>
        <w:t>2</w:t>
      </w:r>
      <w:r>
        <w:rPr>
          <w:rFonts w:hint="eastAsia" w:ascii="宋体"/>
        </w:rPr>
        <w:t>数据来源：学校办公室、教务处统计提供</w:t>
      </w:r>
    </w:p>
    <w:p>
      <w:pPr>
        <w:spacing w:line="400" w:lineRule="exact"/>
        <w:ind w:firstLine="548" w:firstLineChars="195"/>
        <w:rPr>
          <w:rFonts w:ascii="宋体"/>
          <w:b/>
          <w:sz w:val="28"/>
          <w:szCs w:val="28"/>
        </w:rPr>
      </w:pPr>
    </w:p>
    <w:p>
      <w:pPr>
        <w:spacing w:line="400" w:lineRule="exact"/>
        <w:ind w:firstLine="548" w:firstLineChars="195"/>
        <w:rPr>
          <w:rFonts w:ascii="宋体"/>
          <w:b/>
          <w:sz w:val="28"/>
          <w:szCs w:val="28"/>
        </w:rPr>
      </w:pPr>
      <w:r>
        <w:rPr>
          <w:rFonts w:ascii="宋体" w:hAnsi="宋体"/>
          <w:b/>
          <w:sz w:val="28"/>
          <w:szCs w:val="28"/>
        </w:rPr>
        <w:t>1.4</w:t>
      </w:r>
      <w:r>
        <w:rPr>
          <w:rFonts w:hint="eastAsia" w:ascii="宋体" w:hAnsi="宋体"/>
          <w:b/>
          <w:sz w:val="28"/>
          <w:szCs w:val="28"/>
        </w:rPr>
        <w:t>设施设备</w:t>
      </w:r>
    </w:p>
    <w:p>
      <w:pPr>
        <w:spacing w:line="400" w:lineRule="exact"/>
        <w:ind w:firstLine="600" w:firstLineChars="250"/>
        <w:rPr>
          <w:rFonts w:ascii="宋体"/>
          <w:sz w:val="24"/>
          <w:szCs w:val="24"/>
        </w:rPr>
      </w:pPr>
    </w:p>
    <w:p>
      <w:pPr>
        <w:spacing w:line="400" w:lineRule="exact"/>
        <w:jc w:val="center"/>
        <w:rPr>
          <w:rFonts w:ascii="宋体"/>
          <w:sz w:val="24"/>
          <w:szCs w:val="24"/>
        </w:rPr>
      </w:pPr>
      <w:r>
        <w:rPr>
          <w:rFonts w:hint="eastAsia" w:ascii="宋体" w:hAnsi="宋体"/>
          <w:sz w:val="24"/>
          <w:szCs w:val="24"/>
        </w:rPr>
        <w:t>表</w:t>
      </w:r>
      <w:r>
        <w:rPr>
          <w:rFonts w:ascii="宋体" w:hAnsi="宋体"/>
          <w:sz w:val="24"/>
          <w:szCs w:val="24"/>
        </w:rPr>
        <w:t>3</w:t>
      </w:r>
      <w:r>
        <w:rPr>
          <w:rFonts w:hint="eastAsia" w:ascii="宋体" w:hAnsi="宋体"/>
          <w:sz w:val="24"/>
          <w:szCs w:val="24"/>
        </w:rPr>
        <w:t>：设施设备表</w:t>
      </w:r>
    </w:p>
    <w:tbl>
      <w:tblPr>
        <w:tblStyle w:val="7"/>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7"/>
        <w:gridCol w:w="1985"/>
        <w:gridCol w:w="2410"/>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3117" w:type="dxa"/>
            <w:tcBorders>
              <w:tl2br w:val="single" w:color="auto" w:sz="4" w:space="0"/>
            </w:tcBorders>
            <w:vAlign w:val="center"/>
          </w:tcPr>
          <w:p>
            <w:pPr>
              <w:widowControl/>
              <w:spacing w:line="400" w:lineRule="exact"/>
              <w:ind w:firstLine="1890" w:firstLineChars="900"/>
              <w:jc w:val="left"/>
              <w:rPr>
                <w:rFonts w:ascii="宋体" w:cs="宋体"/>
                <w:kern w:val="0"/>
              </w:rPr>
            </w:pPr>
            <w:r>
              <w:rPr>
                <w:rFonts w:hint="eastAsia" w:ascii="宋体" w:hAnsi="宋体" w:cs="宋体"/>
                <w:kern w:val="0"/>
              </w:rPr>
              <w:t>学年度</w:t>
            </w:r>
          </w:p>
          <w:p>
            <w:pPr>
              <w:widowControl/>
              <w:spacing w:line="400" w:lineRule="exact"/>
              <w:jc w:val="left"/>
              <w:rPr>
                <w:rFonts w:ascii="宋体" w:cs="宋体"/>
                <w:kern w:val="0"/>
              </w:rPr>
            </w:pPr>
            <w:r>
              <w:rPr>
                <w:rFonts w:hint="eastAsia" w:ascii="宋体" w:hAnsi="宋体" w:cs="宋体"/>
                <w:kern w:val="0"/>
              </w:rPr>
              <w:t>名称</w:t>
            </w:r>
          </w:p>
        </w:tc>
        <w:tc>
          <w:tcPr>
            <w:tcW w:w="1985" w:type="dxa"/>
            <w:vAlign w:val="center"/>
          </w:tcPr>
          <w:p>
            <w:pPr>
              <w:widowControl/>
              <w:spacing w:line="400" w:lineRule="exact"/>
              <w:jc w:val="center"/>
              <w:rPr>
                <w:rFonts w:ascii="宋体" w:cs="宋体"/>
                <w:kern w:val="0"/>
              </w:rPr>
            </w:pPr>
            <w:r>
              <w:rPr>
                <w:rFonts w:ascii="宋体" w:hAnsi="宋体" w:cs="宋体"/>
                <w:kern w:val="0"/>
              </w:rPr>
              <w:t>201</w:t>
            </w:r>
            <w:r>
              <w:rPr>
                <w:rFonts w:hint="eastAsia" w:ascii="宋体" w:hAnsi="宋体" w:cs="宋体"/>
                <w:kern w:val="0"/>
              </w:rPr>
              <w:t>8</w:t>
            </w:r>
            <w:r>
              <w:rPr>
                <w:rFonts w:ascii="宋体" w:hAnsi="宋体" w:cs="宋体"/>
                <w:kern w:val="0"/>
              </w:rPr>
              <w:t>-201</w:t>
            </w:r>
            <w:r>
              <w:rPr>
                <w:rFonts w:hint="eastAsia" w:ascii="宋体" w:hAnsi="宋体" w:cs="宋体"/>
                <w:kern w:val="0"/>
              </w:rPr>
              <w:t>9学年</w:t>
            </w:r>
          </w:p>
        </w:tc>
        <w:tc>
          <w:tcPr>
            <w:tcW w:w="2410" w:type="dxa"/>
            <w:vAlign w:val="center"/>
          </w:tcPr>
          <w:p>
            <w:pPr>
              <w:widowControl/>
              <w:spacing w:line="400" w:lineRule="exact"/>
              <w:jc w:val="center"/>
              <w:rPr>
                <w:rFonts w:ascii="宋体" w:cs="宋体"/>
                <w:kern w:val="0"/>
              </w:rPr>
            </w:pPr>
            <w:r>
              <w:rPr>
                <w:rFonts w:ascii="宋体" w:hAnsi="宋体" w:cs="宋体"/>
                <w:kern w:val="0"/>
              </w:rPr>
              <w:t>201</w:t>
            </w:r>
            <w:r>
              <w:rPr>
                <w:rFonts w:hint="eastAsia" w:ascii="宋体" w:hAnsi="宋体" w:cs="宋体"/>
                <w:kern w:val="0"/>
              </w:rPr>
              <w:t>9</w:t>
            </w:r>
            <w:r>
              <w:rPr>
                <w:rFonts w:ascii="宋体" w:hAnsi="宋体" w:cs="宋体"/>
                <w:kern w:val="0"/>
              </w:rPr>
              <w:t>-20</w:t>
            </w:r>
            <w:r>
              <w:rPr>
                <w:rFonts w:hint="eastAsia" w:ascii="宋体" w:hAnsi="宋体" w:cs="宋体"/>
                <w:kern w:val="0"/>
              </w:rPr>
              <w:t>20学年</w:t>
            </w:r>
          </w:p>
        </w:tc>
        <w:tc>
          <w:tcPr>
            <w:tcW w:w="1135" w:type="dxa"/>
            <w:vAlign w:val="center"/>
          </w:tcPr>
          <w:p>
            <w:pPr>
              <w:widowControl/>
              <w:spacing w:line="400" w:lineRule="exact"/>
              <w:jc w:val="center"/>
              <w:rPr>
                <w:rFonts w:ascii="宋体" w:cs="宋体"/>
                <w:kern w:val="0"/>
              </w:rPr>
            </w:pPr>
            <w:r>
              <w:rPr>
                <w:rFonts w:hint="eastAsia" w:ascii="宋体" w:hAnsi="宋体" w:cs="宋体"/>
                <w:kern w:val="0"/>
              </w:rPr>
              <w:t>比增（</w:t>
            </w:r>
            <w:r>
              <w:rPr>
                <w:rFonts w:ascii="宋体" w:hAnsi="宋体" w:cs="宋体"/>
                <w:kern w:val="0"/>
              </w:rPr>
              <w:t>%</w:t>
            </w: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7" w:type="dxa"/>
            <w:vAlign w:val="center"/>
          </w:tcPr>
          <w:p>
            <w:pPr>
              <w:widowControl/>
              <w:spacing w:line="400" w:lineRule="exact"/>
              <w:jc w:val="center"/>
              <w:rPr>
                <w:rFonts w:ascii="宋体" w:cs="宋体"/>
                <w:kern w:val="0"/>
              </w:rPr>
            </w:pPr>
            <w:r>
              <w:rPr>
                <w:rFonts w:hint="eastAsia" w:ascii="宋体" w:hAnsi="宋体" w:cs="宋体"/>
                <w:kern w:val="0"/>
              </w:rPr>
              <w:t>教学仪器设备总值（万元）</w:t>
            </w:r>
          </w:p>
        </w:tc>
        <w:tc>
          <w:tcPr>
            <w:tcW w:w="1985" w:type="dxa"/>
            <w:vAlign w:val="center"/>
          </w:tcPr>
          <w:p>
            <w:pPr>
              <w:widowControl/>
              <w:spacing w:line="400" w:lineRule="exact"/>
              <w:jc w:val="center"/>
              <w:rPr>
                <w:rFonts w:ascii="宋体" w:cs="宋体"/>
                <w:kern w:val="0"/>
              </w:rPr>
            </w:pPr>
            <w:r>
              <w:rPr>
                <w:rFonts w:hint="eastAsia" w:ascii="宋体" w:hAnsi="宋体" w:cs="宋体"/>
                <w:kern w:val="0"/>
              </w:rPr>
              <w:t>425.7</w:t>
            </w:r>
          </w:p>
        </w:tc>
        <w:tc>
          <w:tcPr>
            <w:tcW w:w="2410" w:type="dxa"/>
            <w:vAlign w:val="center"/>
          </w:tcPr>
          <w:p>
            <w:pPr>
              <w:widowControl/>
              <w:spacing w:line="400" w:lineRule="exact"/>
              <w:jc w:val="center"/>
              <w:rPr>
                <w:rFonts w:ascii="宋体" w:cs="宋体"/>
                <w:kern w:val="0"/>
              </w:rPr>
            </w:pPr>
            <w:r>
              <w:rPr>
                <w:rFonts w:hint="eastAsia" w:ascii="宋体" w:hAnsi="宋体" w:cs="宋体"/>
                <w:kern w:val="0"/>
              </w:rPr>
              <w:t>441.1</w:t>
            </w:r>
          </w:p>
        </w:tc>
        <w:tc>
          <w:tcPr>
            <w:tcW w:w="1135" w:type="dxa"/>
            <w:vAlign w:val="center"/>
          </w:tcPr>
          <w:p>
            <w:pPr>
              <w:widowControl/>
              <w:spacing w:line="400" w:lineRule="exact"/>
              <w:jc w:val="center"/>
              <w:rPr>
                <w:rFonts w:ascii="宋体" w:cs="宋体"/>
                <w:kern w:val="0"/>
              </w:rPr>
            </w:pPr>
            <w:r>
              <w:rPr>
                <w:rFonts w:hint="eastAsia" w:ascii="宋体" w:cs="宋体"/>
                <w:kern w:val="0"/>
              </w:rPr>
              <w:t>3.62</w:t>
            </w:r>
            <w:r>
              <w:rPr>
                <w:rFonts w:asci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7" w:type="dxa"/>
            <w:vAlign w:val="center"/>
          </w:tcPr>
          <w:p>
            <w:pPr>
              <w:widowControl/>
              <w:spacing w:line="400" w:lineRule="exact"/>
              <w:jc w:val="center"/>
              <w:rPr>
                <w:rFonts w:ascii="宋体" w:cs="宋体"/>
                <w:kern w:val="0"/>
              </w:rPr>
            </w:pPr>
            <w:r>
              <w:rPr>
                <w:rFonts w:hint="eastAsia" w:ascii="宋体" w:hAnsi="宋体" w:cs="宋体"/>
                <w:kern w:val="0"/>
              </w:rPr>
              <w:t>生均教学仪器设备值（万元）</w:t>
            </w:r>
          </w:p>
        </w:tc>
        <w:tc>
          <w:tcPr>
            <w:tcW w:w="1985" w:type="dxa"/>
            <w:vAlign w:val="center"/>
          </w:tcPr>
          <w:p>
            <w:pPr>
              <w:widowControl/>
              <w:spacing w:line="400" w:lineRule="exact"/>
              <w:jc w:val="center"/>
              <w:rPr>
                <w:rFonts w:ascii="宋体" w:cs="宋体"/>
                <w:kern w:val="0"/>
              </w:rPr>
            </w:pPr>
            <w:r>
              <w:rPr>
                <w:rFonts w:ascii="宋体" w:cs="宋体"/>
                <w:kern w:val="0"/>
              </w:rPr>
              <w:t>0.</w:t>
            </w:r>
            <w:r>
              <w:rPr>
                <w:rFonts w:hint="eastAsia" w:ascii="宋体" w:hAnsi="宋体" w:cs="宋体"/>
                <w:kern w:val="0"/>
              </w:rPr>
              <w:t>4767</w:t>
            </w:r>
          </w:p>
        </w:tc>
        <w:tc>
          <w:tcPr>
            <w:tcW w:w="2410" w:type="dxa"/>
            <w:vAlign w:val="center"/>
          </w:tcPr>
          <w:p>
            <w:pPr>
              <w:widowControl/>
              <w:spacing w:line="400" w:lineRule="exact"/>
              <w:jc w:val="center"/>
              <w:rPr>
                <w:rFonts w:ascii="宋体" w:cs="宋体"/>
                <w:kern w:val="0"/>
              </w:rPr>
            </w:pPr>
            <w:r>
              <w:rPr>
                <w:rFonts w:ascii="宋体" w:cs="宋体"/>
                <w:kern w:val="0"/>
              </w:rPr>
              <w:t>0.</w:t>
            </w:r>
            <w:r>
              <w:rPr>
                <w:rFonts w:hint="eastAsia" w:ascii="宋体" w:hAnsi="宋体" w:cs="宋体"/>
                <w:kern w:val="0"/>
              </w:rPr>
              <w:t>4614</w:t>
            </w:r>
          </w:p>
        </w:tc>
        <w:tc>
          <w:tcPr>
            <w:tcW w:w="1135" w:type="dxa"/>
            <w:vAlign w:val="center"/>
          </w:tcPr>
          <w:p>
            <w:pPr>
              <w:widowControl/>
              <w:spacing w:line="400" w:lineRule="exact"/>
              <w:jc w:val="center"/>
              <w:rPr>
                <w:rFonts w:ascii="宋体" w:cs="宋体"/>
                <w:kern w:val="0"/>
              </w:rPr>
            </w:pPr>
            <w:r>
              <w:rPr>
                <w:rFonts w:ascii="宋体" w:cs="宋体"/>
                <w:kern w:val="0"/>
              </w:rPr>
              <w:t>-</w:t>
            </w:r>
            <w:r>
              <w:rPr>
                <w:rFonts w:hint="eastAsia" w:ascii="宋体" w:cs="宋体"/>
                <w:kern w:val="0"/>
              </w:rPr>
              <w:t>3.21</w:t>
            </w:r>
            <w:r>
              <w:rPr>
                <w:rFonts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7" w:type="dxa"/>
            <w:vAlign w:val="center"/>
          </w:tcPr>
          <w:p>
            <w:pPr>
              <w:widowControl/>
              <w:spacing w:line="400" w:lineRule="exact"/>
              <w:jc w:val="center"/>
              <w:rPr>
                <w:rFonts w:ascii="宋体" w:cs="宋体"/>
                <w:kern w:val="0"/>
              </w:rPr>
            </w:pPr>
            <w:r>
              <w:rPr>
                <w:rFonts w:hint="eastAsia" w:ascii="宋体" w:hAnsi="宋体" w:cs="宋体"/>
                <w:kern w:val="0"/>
              </w:rPr>
              <w:t>实训实习工位数（个）</w:t>
            </w:r>
          </w:p>
        </w:tc>
        <w:tc>
          <w:tcPr>
            <w:tcW w:w="1985" w:type="dxa"/>
            <w:vAlign w:val="center"/>
          </w:tcPr>
          <w:p>
            <w:pPr>
              <w:widowControl/>
              <w:spacing w:line="400" w:lineRule="exact"/>
              <w:jc w:val="center"/>
              <w:rPr>
                <w:rFonts w:ascii="宋体" w:cs="宋体"/>
                <w:kern w:val="0"/>
              </w:rPr>
            </w:pPr>
            <w:r>
              <w:rPr>
                <w:rFonts w:ascii="宋体" w:hAnsi="宋体" w:cs="宋体"/>
                <w:kern w:val="0"/>
              </w:rPr>
              <w:t>5</w:t>
            </w:r>
            <w:r>
              <w:rPr>
                <w:rFonts w:hint="eastAsia" w:ascii="宋体" w:hAnsi="宋体" w:cs="宋体"/>
                <w:kern w:val="0"/>
              </w:rPr>
              <w:t>5</w:t>
            </w:r>
            <w:r>
              <w:rPr>
                <w:rFonts w:ascii="宋体" w:hAnsi="宋体" w:cs="宋体"/>
                <w:kern w:val="0"/>
              </w:rPr>
              <w:t>0</w:t>
            </w:r>
          </w:p>
        </w:tc>
        <w:tc>
          <w:tcPr>
            <w:tcW w:w="2410" w:type="dxa"/>
            <w:vAlign w:val="center"/>
          </w:tcPr>
          <w:p>
            <w:pPr>
              <w:widowControl/>
              <w:spacing w:line="400" w:lineRule="exact"/>
              <w:jc w:val="center"/>
              <w:rPr>
                <w:rFonts w:ascii="宋体" w:cs="宋体"/>
                <w:kern w:val="0"/>
              </w:rPr>
            </w:pPr>
            <w:r>
              <w:rPr>
                <w:rFonts w:hint="eastAsia" w:ascii="宋体" w:hAnsi="宋体" w:cs="宋体"/>
                <w:kern w:val="0"/>
              </w:rPr>
              <w:t>6</w:t>
            </w:r>
            <w:r>
              <w:rPr>
                <w:rFonts w:ascii="宋体" w:hAnsi="宋体" w:cs="宋体"/>
                <w:kern w:val="0"/>
              </w:rPr>
              <w:t>00</w:t>
            </w:r>
          </w:p>
        </w:tc>
        <w:tc>
          <w:tcPr>
            <w:tcW w:w="1135" w:type="dxa"/>
            <w:vAlign w:val="center"/>
          </w:tcPr>
          <w:p>
            <w:pPr>
              <w:widowControl/>
              <w:spacing w:line="400" w:lineRule="exact"/>
              <w:jc w:val="center"/>
              <w:rPr>
                <w:rFonts w:ascii="宋体" w:cs="宋体"/>
                <w:kern w:val="0"/>
              </w:rPr>
            </w:pPr>
            <w:r>
              <w:rPr>
                <w:rFonts w:hint="eastAsia" w:ascii="宋体" w:cs="宋体"/>
                <w:kern w:val="0"/>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7" w:type="dxa"/>
            <w:vAlign w:val="center"/>
          </w:tcPr>
          <w:p>
            <w:pPr>
              <w:widowControl/>
              <w:spacing w:line="400" w:lineRule="exact"/>
              <w:jc w:val="center"/>
              <w:rPr>
                <w:rFonts w:ascii="宋体" w:cs="宋体"/>
                <w:kern w:val="0"/>
              </w:rPr>
            </w:pPr>
            <w:r>
              <w:rPr>
                <w:rFonts w:hint="eastAsia" w:ascii="宋体" w:hAnsi="宋体" w:cs="宋体"/>
                <w:kern w:val="0"/>
              </w:rPr>
              <w:t>生均实训实习工位数（个）</w:t>
            </w:r>
          </w:p>
        </w:tc>
        <w:tc>
          <w:tcPr>
            <w:tcW w:w="1985" w:type="dxa"/>
            <w:vAlign w:val="center"/>
          </w:tcPr>
          <w:p>
            <w:pPr>
              <w:widowControl/>
              <w:spacing w:line="400" w:lineRule="exact"/>
              <w:jc w:val="center"/>
              <w:rPr>
                <w:rFonts w:ascii="宋体" w:cs="宋体"/>
                <w:kern w:val="0"/>
              </w:rPr>
            </w:pPr>
            <w:r>
              <w:rPr>
                <w:rFonts w:ascii="宋体" w:cs="宋体"/>
                <w:kern w:val="0"/>
              </w:rPr>
              <w:t>0.</w:t>
            </w:r>
            <w:r>
              <w:rPr>
                <w:rFonts w:ascii="宋体" w:hAnsi="宋体" w:cs="宋体"/>
                <w:kern w:val="0"/>
              </w:rPr>
              <w:t>6</w:t>
            </w:r>
          </w:p>
        </w:tc>
        <w:tc>
          <w:tcPr>
            <w:tcW w:w="2410" w:type="dxa"/>
            <w:vAlign w:val="center"/>
          </w:tcPr>
          <w:p>
            <w:pPr>
              <w:widowControl/>
              <w:spacing w:line="400" w:lineRule="exact"/>
              <w:jc w:val="center"/>
              <w:rPr>
                <w:rFonts w:ascii="宋体" w:cs="宋体"/>
                <w:kern w:val="0"/>
              </w:rPr>
            </w:pPr>
            <w:r>
              <w:rPr>
                <w:rFonts w:ascii="宋体" w:hAnsi="宋体" w:cs="宋体"/>
                <w:kern w:val="0"/>
              </w:rPr>
              <w:t>0.</w:t>
            </w:r>
            <w:r>
              <w:rPr>
                <w:rFonts w:hint="eastAsia" w:ascii="宋体" w:hAnsi="宋体" w:cs="宋体"/>
                <w:kern w:val="0"/>
              </w:rPr>
              <w:t>6</w:t>
            </w:r>
          </w:p>
        </w:tc>
        <w:tc>
          <w:tcPr>
            <w:tcW w:w="1135" w:type="dxa"/>
            <w:vAlign w:val="center"/>
          </w:tcPr>
          <w:p>
            <w:pPr>
              <w:widowControl/>
              <w:spacing w:line="400" w:lineRule="exact"/>
              <w:jc w:val="center"/>
              <w:rPr>
                <w:rFonts w:ascii="宋体" w:cs="宋体"/>
                <w:kern w:val="0"/>
              </w:rPr>
            </w:pPr>
            <w:r>
              <w:rPr>
                <w:rFonts w:hint="eastAsia" w:ascii="宋体" w:cs="宋体"/>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7" w:type="dxa"/>
            <w:vAlign w:val="center"/>
          </w:tcPr>
          <w:p>
            <w:pPr>
              <w:widowControl/>
              <w:spacing w:line="400" w:lineRule="exact"/>
              <w:jc w:val="center"/>
              <w:rPr>
                <w:rFonts w:ascii="宋体" w:cs="宋体"/>
                <w:kern w:val="0"/>
              </w:rPr>
            </w:pPr>
            <w:r>
              <w:rPr>
                <w:rFonts w:hint="eastAsia" w:ascii="宋体" w:hAnsi="宋体" w:cs="宋体"/>
                <w:kern w:val="0"/>
              </w:rPr>
              <w:t>纸质图书总数（本）</w:t>
            </w:r>
          </w:p>
        </w:tc>
        <w:tc>
          <w:tcPr>
            <w:tcW w:w="1985" w:type="dxa"/>
            <w:vAlign w:val="center"/>
          </w:tcPr>
          <w:p>
            <w:pPr>
              <w:widowControl/>
              <w:spacing w:line="400" w:lineRule="exact"/>
              <w:jc w:val="center"/>
              <w:rPr>
                <w:rFonts w:ascii="宋体" w:cs="宋体"/>
                <w:kern w:val="0"/>
              </w:rPr>
            </w:pPr>
            <w:r>
              <w:rPr>
                <w:rFonts w:hint="eastAsia" w:ascii="宋体" w:hAnsi="宋体" w:cs="宋体"/>
                <w:kern w:val="0"/>
              </w:rPr>
              <w:t>26190</w:t>
            </w:r>
          </w:p>
        </w:tc>
        <w:tc>
          <w:tcPr>
            <w:tcW w:w="2410" w:type="dxa"/>
            <w:vAlign w:val="center"/>
          </w:tcPr>
          <w:p>
            <w:pPr>
              <w:widowControl/>
              <w:spacing w:line="400" w:lineRule="exact"/>
              <w:jc w:val="center"/>
              <w:rPr>
                <w:rFonts w:ascii="宋体" w:cs="宋体"/>
                <w:kern w:val="0"/>
              </w:rPr>
            </w:pPr>
            <w:r>
              <w:rPr>
                <w:rFonts w:ascii="宋体" w:hAnsi="宋体" w:cs="宋体"/>
                <w:kern w:val="0"/>
              </w:rPr>
              <w:t>26190</w:t>
            </w:r>
          </w:p>
        </w:tc>
        <w:tc>
          <w:tcPr>
            <w:tcW w:w="1135" w:type="dxa"/>
            <w:vAlign w:val="center"/>
          </w:tcPr>
          <w:p>
            <w:pPr>
              <w:widowControl/>
              <w:spacing w:line="400" w:lineRule="exact"/>
              <w:jc w:val="center"/>
              <w:rPr>
                <w:rFonts w:ascii="宋体" w:cs="宋体"/>
                <w:kern w:val="0"/>
              </w:rPr>
            </w:pPr>
            <w:r>
              <w:rPr>
                <w:rFonts w:hint="eastAsia" w:ascii="宋体" w:hAnsi="宋体" w:cs="宋体"/>
                <w:kern w:val="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7" w:type="dxa"/>
            <w:vAlign w:val="center"/>
          </w:tcPr>
          <w:p>
            <w:pPr>
              <w:widowControl/>
              <w:spacing w:line="400" w:lineRule="exact"/>
              <w:jc w:val="center"/>
              <w:rPr>
                <w:rFonts w:ascii="宋体" w:cs="宋体"/>
                <w:kern w:val="0"/>
              </w:rPr>
            </w:pPr>
            <w:r>
              <w:rPr>
                <w:rFonts w:hint="eastAsia" w:ascii="宋体" w:hAnsi="宋体" w:cs="宋体"/>
                <w:kern w:val="0"/>
              </w:rPr>
              <w:t>生均纸质图书（本）</w:t>
            </w:r>
          </w:p>
        </w:tc>
        <w:tc>
          <w:tcPr>
            <w:tcW w:w="1985" w:type="dxa"/>
            <w:vAlign w:val="center"/>
          </w:tcPr>
          <w:p>
            <w:pPr>
              <w:widowControl/>
              <w:spacing w:line="400" w:lineRule="exact"/>
              <w:jc w:val="center"/>
              <w:rPr>
                <w:rFonts w:ascii="宋体" w:cs="宋体"/>
                <w:kern w:val="0"/>
              </w:rPr>
            </w:pPr>
            <w:r>
              <w:rPr>
                <w:rFonts w:hint="eastAsia" w:ascii="宋体" w:hAnsi="宋体" w:cs="宋体"/>
                <w:kern w:val="0"/>
              </w:rPr>
              <w:t>29.3</w:t>
            </w:r>
          </w:p>
        </w:tc>
        <w:tc>
          <w:tcPr>
            <w:tcW w:w="2410" w:type="dxa"/>
            <w:vAlign w:val="center"/>
          </w:tcPr>
          <w:p>
            <w:pPr>
              <w:widowControl/>
              <w:spacing w:line="400" w:lineRule="exact"/>
              <w:jc w:val="center"/>
              <w:rPr>
                <w:rFonts w:ascii="宋体" w:cs="宋体"/>
                <w:kern w:val="0"/>
              </w:rPr>
            </w:pPr>
            <w:r>
              <w:rPr>
                <w:rFonts w:hint="eastAsia" w:ascii="宋体" w:hAnsi="宋体" w:cs="宋体"/>
                <w:kern w:val="0"/>
              </w:rPr>
              <w:t>27.4</w:t>
            </w:r>
          </w:p>
        </w:tc>
        <w:tc>
          <w:tcPr>
            <w:tcW w:w="1135" w:type="dxa"/>
            <w:vAlign w:val="center"/>
          </w:tcPr>
          <w:p>
            <w:pPr>
              <w:widowControl/>
              <w:spacing w:line="400" w:lineRule="exact"/>
              <w:jc w:val="center"/>
              <w:rPr>
                <w:rFonts w:ascii="宋体" w:cs="宋体"/>
                <w:kern w:val="0"/>
              </w:rPr>
            </w:pPr>
            <w:r>
              <w:rPr>
                <w:rFonts w:hint="eastAsia" w:ascii="宋体" w:hAnsi="宋体" w:cs="宋体"/>
                <w:kern w:val="0"/>
              </w:rPr>
              <w:t>-6.48</w:t>
            </w:r>
            <w:r>
              <w:rPr>
                <w:rFonts w:ascii="宋体" w:hAnsi="宋体" w:cs="宋体"/>
                <w:kern w:val="0"/>
              </w:rPr>
              <w:t>%</w:t>
            </w:r>
          </w:p>
        </w:tc>
      </w:tr>
    </w:tbl>
    <w:p>
      <w:pPr>
        <w:spacing w:line="360" w:lineRule="auto"/>
        <w:ind w:firstLine="420" w:firstLineChars="200"/>
        <w:rPr>
          <w:rFonts w:ascii="宋体" w:cs="仿宋"/>
          <w:sz w:val="24"/>
        </w:rPr>
      </w:pPr>
      <w:r>
        <w:rPr>
          <w:rFonts w:hint="eastAsia" w:ascii="宋体"/>
        </w:rPr>
        <w:t>表</w:t>
      </w:r>
      <w:r>
        <w:rPr>
          <w:rFonts w:ascii="宋体"/>
        </w:rPr>
        <w:t>3</w:t>
      </w:r>
      <w:r>
        <w:rPr>
          <w:rFonts w:hint="eastAsia" w:ascii="宋体"/>
        </w:rPr>
        <w:t>数据来源：学校总务处统计提供</w:t>
      </w:r>
    </w:p>
    <w:p>
      <w:pPr>
        <w:spacing w:line="360" w:lineRule="auto"/>
        <w:ind w:firstLine="410" w:firstLineChars="146"/>
        <w:rPr>
          <w:rFonts w:ascii="宋体"/>
          <w:b/>
          <w:sz w:val="28"/>
          <w:szCs w:val="28"/>
        </w:rPr>
      </w:pPr>
      <w:r>
        <w:rPr>
          <w:rFonts w:ascii="宋体" w:hAnsi="宋体"/>
          <w:b/>
          <w:sz w:val="28"/>
          <w:szCs w:val="28"/>
        </w:rPr>
        <w:t>2.</w:t>
      </w:r>
      <w:r>
        <w:rPr>
          <w:rFonts w:hint="eastAsia" w:ascii="宋体" w:hAnsi="宋体"/>
          <w:b/>
          <w:sz w:val="28"/>
          <w:szCs w:val="28"/>
        </w:rPr>
        <w:t>学生发展</w:t>
      </w:r>
    </w:p>
    <w:p>
      <w:pPr>
        <w:spacing w:beforeLines="50" w:afterLines="50" w:line="400" w:lineRule="exact"/>
        <w:ind w:firstLine="416" w:firstLineChars="148"/>
        <w:rPr>
          <w:rFonts w:ascii="宋体"/>
          <w:b/>
          <w:sz w:val="28"/>
          <w:szCs w:val="28"/>
        </w:rPr>
      </w:pPr>
      <w:r>
        <w:rPr>
          <w:rFonts w:ascii="宋体" w:hAnsi="宋体"/>
          <w:b/>
          <w:sz w:val="28"/>
          <w:szCs w:val="28"/>
        </w:rPr>
        <w:t>2.1</w:t>
      </w:r>
      <w:r>
        <w:rPr>
          <w:rFonts w:hint="eastAsia" w:ascii="宋体" w:hAnsi="宋体"/>
          <w:b/>
          <w:sz w:val="28"/>
          <w:szCs w:val="28"/>
        </w:rPr>
        <w:t>学生素质</w:t>
      </w:r>
    </w:p>
    <w:p>
      <w:pPr>
        <w:shd w:val="clear" w:color="auto" w:fill="FFFFFF"/>
        <w:spacing w:line="400" w:lineRule="exact"/>
        <w:ind w:firstLine="444" w:firstLineChars="185"/>
        <w:rPr>
          <w:rFonts w:ascii="宋体"/>
          <w:sz w:val="24"/>
        </w:rPr>
      </w:pPr>
      <w:r>
        <w:rPr>
          <w:rFonts w:hint="eastAsia" w:ascii="宋体" w:hAnsi="宋体"/>
          <w:sz w:val="24"/>
        </w:rPr>
        <w:t>思想政治情况：2019年下半年（2020年上半年因新冠肺炎疫情未上学）紧紧围绕党和国家职业教育的思政教育中心工作，以人为本，不断开拓思政教育新思路，发挥思政教育途径整体效益，提高学校德育整体效果。结合学校实际，紧紧围绕德育“</w:t>
      </w:r>
      <w:r>
        <w:rPr>
          <w:rFonts w:ascii="宋体" w:hAnsi="宋体"/>
          <w:sz w:val="24"/>
        </w:rPr>
        <w:t>6S</w:t>
      </w:r>
      <w:r>
        <w:rPr>
          <w:rFonts w:hint="eastAsia" w:ascii="宋体" w:hAnsi="宋体"/>
          <w:sz w:val="24"/>
        </w:rPr>
        <w:t>”精细化管理，突出职教德育特色，努力加强德育队伍建设，通过“</w:t>
      </w:r>
      <w:r>
        <w:rPr>
          <w:rFonts w:ascii="宋体" w:hAnsi="宋体"/>
          <w:sz w:val="24"/>
        </w:rPr>
        <w:t>6S</w:t>
      </w:r>
      <w:r>
        <w:rPr>
          <w:rFonts w:hint="eastAsia" w:ascii="宋体" w:hAnsi="宋体"/>
          <w:sz w:val="24"/>
        </w:rPr>
        <w:t>”管理模式，进一步完善班主任管理工作，力求真实、客观地衡量、评价每位班主任的工作。严格执行</w:t>
      </w:r>
      <w:r>
        <w:rPr>
          <w:rFonts w:ascii="宋体" w:hAnsi="宋体"/>
          <w:sz w:val="24"/>
        </w:rPr>
        <w:t>6S</w:t>
      </w:r>
      <w:r>
        <w:rPr>
          <w:rFonts w:hint="eastAsia" w:ascii="宋体" w:hAnsi="宋体"/>
          <w:sz w:val="24"/>
        </w:rPr>
        <w:t>德育精细化管理要求，将学生的德育量化考核与</w:t>
      </w:r>
      <w:r>
        <w:rPr>
          <w:rFonts w:ascii="宋体" w:hAnsi="宋体"/>
          <w:sz w:val="24"/>
        </w:rPr>
        <w:t>6S</w:t>
      </w:r>
      <w:r>
        <w:rPr>
          <w:rFonts w:hint="eastAsia" w:ascii="宋体" w:hAnsi="宋体"/>
          <w:sz w:val="24"/>
        </w:rPr>
        <w:t>管理评比相结合，加强学生文明行为与良好习惯养成教育；积极开展丰富多彩的活动，营造有效的校园德育文化氛围，丰富学生的校园生活；以不同的形式活动，抓好安全、法制、心理健康等专题教育。整合思政资源，加强学校、家庭、社会教育。充分利用校外思政教育资源，开展了丰富多样的职业教育活动周（日）和社会实践活动，继续深入展开社区教育，开展了一系列志愿者活动。特别是2020年5-6月防控疫情非常时期，配合高新区教卫健局对学校全体师生进行了两次心理辅导，效果良好。</w:t>
      </w:r>
    </w:p>
    <w:p>
      <w:pPr>
        <w:spacing w:beforeLines="50" w:afterLines="50" w:line="420" w:lineRule="exact"/>
        <w:jc w:val="center"/>
        <w:rPr>
          <w:rFonts w:ascii="宋体"/>
          <w:sz w:val="24"/>
        </w:rPr>
      </w:pPr>
      <w:r>
        <w:rPr>
          <w:rFonts w:hint="eastAsia" w:ascii="宋体" w:hAnsi="宋体"/>
          <w:sz w:val="24"/>
        </w:rPr>
        <w:t>表</w:t>
      </w:r>
      <w:r>
        <w:rPr>
          <w:rFonts w:ascii="宋体" w:hAnsi="宋体"/>
          <w:sz w:val="24"/>
        </w:rPr>
        <w:t>4</w:t>
      </w:r>
      <w:r>
        <w:rPr>
          <w:rFonts w:hint="eastAsia" w:ascii="宋体" w:hAnsi="宋体"/>
          <w:sz w:val="24"/>
        </w:rPr>
        <w:t>：学生素质四率表</w:t>
      </w:r>
    </w:p>
    <w:tbl>
      <w:tblPr>
        <w:tblStyle w:val="7"/>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440"/>
        <w:gridCol w:w="1289"/>
        <w:gridCol w:w="1260"/>
        <w:gridCol w:w="1339"/>
        <w:gridCol w:w="1276"/>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pPr>
              <w:spacing w:line="360" w:lineRule="exact"/>
              <w:jc w:val="center"/>
              <w:rPr>
                <w:rFonts w:ascii="宋体" w:cs="宋体"/>
              </w:rPr>
            </w:pPr>
            <w:r>
              <w:rPr>
                <w:rFonts w:hint="eastAsia" w:ascii="宋体" w:hAnsi="宋体" w:cs="宋体"/>
              </w:rPr>
              <w:t>年份</w:t>
            </w:r>
          </w:p>
        </w:tc>
        <w:tc>
          <w:tcPr>
            <w:tcW w:w="1440" w:type="dxa"/>
            <w:vAlign w:val="center"/>
          </w:tcPr>
          <w:p>
            <w:pPr>
              <w:spacing w:line="360" w:lineRule="exact"/>
              <w:jc w:val="center"/>
              <w:rPr>
                <w:rFonts w:ascii="宋体" w:cs="宋体"/>
              </w:rPr>
            </w:pPr>
            <w:r>
              <w:rPr>
                <w:rFonts w:hint="eastAsia" w:ascii="宋体" w:hAnsi="宋体" w:cs="宋体"/>
              </w:rPr>
              <w:t>文化课</w:t>
            </w:r>
          </w:p>
          <w:p>
            <w:pPr>
              <w:spacing w:line="360" w:lineRule="exact"/>
              <w:jc w:val="center"/>
              <w:rPr>
                <w:rFonts w:ascii="宋体" w:cs="宋体"/>
              </w:rPr>
            </w:pPr>
            <w:r>
              <w:rPr>
                <w:rFonts w:hint="eastAsia" w:ascii="宋体" w:hAnsi="宋体" w:cs="宋体"/>
              </w:rPr>
              <w:t>合格率（</w:t>
            </w:r>
            <w:r>
              <w:rPr>
                <w:rFonts w:ascii="宋体" w:hAnsi="宋体" w:cs="宋体"/>
              </w:rPr>
              <w:t>%</w:t>
            </w:r>
            <w:r>
              <w:rPr>
                <w:rFonts w:hint="eastAsia" w:ascii="宋体" w:hAnsi="宋体" w:cs="宋体"/>
              </w:rPr>
              <w:t>）</w:t>
            </w:r>
          </w:p>
        </w:tc>
        <w:tc>
          <w:tcPr>
            <w:tcW w:w="1289" w:type="dxa"/>
            <w:vAlign w:val="center"/>
          </w:tcPr>
          <w:p>
            <w:pPr>
              <w:spacing w:line="360" w:lineRule="exact"/>
              <w:jc w:val="center"/>
              <w:rPr>
                <w:rFonts w:ascii="宋体" w:cs="宋体"/>
              </w:rPr>
            </w:pPr>
            <w:r>
              <w:rPr>
                <w:rFonts w:hint="eastAsia" w:ascii="宋体" w:hAnsi="宋体" w:cs="宋体"/>
              </w:rPr>
              <w:t>专业技能</w:t>
            </w:r>
          </w:p>
          <w:p>
            <w:pPr>
              <w:spacing w:line="360" w:lineRule="exact"/>
              <w:jc w:val="center"/>
              <w:rPr>
                <w:rFonts w:ascii="宋体" w:cs="宋体"/>
              </w:rPr>
            </w:pPr>
            <w:r>
              <w:rPr>
                <w:rFonts w:hint="eastAsia" w:ascii="宋体" w:hAnsi="宋体" w:cs="宋体"/>
              </w:rPr>
              <w:t>合格率（</w:t>
            </w:r>
            <w:r>
              <w:rPr>
                <w:rFonts w:ascii="宋体" w:hAnsi="宋体" w:cs="宋体"/>
              </w:rPr>
              <w:t>%</w:t>
            </w:r>
            <w:r>
              <w:rPr>
                <w:rFonts w:hint="eastAsia" w:ascii="宋体" w:hAnsi="宋体" w:cs="宋体"/>
              </w:rPr>
              <w:t>）</w:t>
            </w:r>
          </w:p>
        </w:tc>
        <w:tc>
          <w:tcPr>
            <w:tcW w:w="1260" w:type="dxa"/>
            <w:vAlign w:val="center"/>
          </w:tcPr>
          <w:p>
            <w:pPr>
              <w:spacing w:line="360" w:lineRule="exact"/>
              <w:jc w:val="center"/>
              <w:rPr>
                <w:rFonts w:ascii="宋体" w:cs="宋体"/>
              </w:rPr>
            </w:pPr>
            <w:r>
              <w:rPr>
                <w:rFonts w:hint="eastAsia" w:ascii="宋体" w:hAnsi="宋体" w:cs="宋体"/>
              </w:rPr>
              <w:t>体质测评合格率（</w:t>
            </w:r>
            <w:r>
              <w:rPr>
                <w:rFonts w:ascii="宋体" w:hAnsi="宋体" w:cs="宋体"/>
              </w:rPr>
              <w:t>%</w:t>
            </w:r>
            <w:r>
              <w:rPr>
                <w:rFonts w:hint="eastAsia" w:ascii="宋体" w:hAnsi="宋体" w:cs="宋体"/>
              </w:rPr>
              <w:t>）</w:t>
            </w:r>
          </w:p>
        </w:tc>
        <w:tc>
          <w:tcPr>
            <w:tcW w:w="1339" w:type="dxa"/>
            <w:vAlign w:val="center"/>
          </w:tcPr>
          <w:p>
            <w:pPr>
              <w:spacing w:line="360" w:lineRule="exact"/>
              <w:jc w:val="center"/>
              <w:rPr>
                <w:rFonts w:ascii="宋体" w:cs="宋体"/>
              </w:rPr>
            </w:pPr>
            <w:r>
              <w:rPr>
                <w:rFonts w:hint="eastAsia" w:ascii="宋体" w:hAnsi="宋体" w:cs="宋体"/>
              </w:rPr>
              <w:t>毕业率（</w:t>
            </w:r>
            <w:r>
              <w:rPr>
                <w:rFonts w:ascii="宋体" w:hAnsi="宋体" w:cs="宋体"/>
              </w:rPr>
              <w:t>%</w:t>
            </w:r>
            <w:r>
              <w:rPr>
                <w:rFonts w:hint="eastAsia" w:ascii="宋体" w:hAnsi="宋体" w:cs="宋体"/>
              </w:rPr>
              <w:t>）</w:t>
            </w:r>
          </w:p>
        </w:tc>
        <w:tc>
          <w:tcPr>
            <w:tcW w:w="1276" w:type="dxa"/>
          </w:tcPr>
          <w:p>
            <w:pPr>
              <w:spacing w:line="280" w:lineRule="exact"/>
              <w:jc w:val="center"/>
              <w:rPr>
                <w:rFonts w:ascii="宋体" w:cs="宋体"/>
              </w:rPr>
            </w:pPr>
            <w:r>
              <w:rPr>
                <w:rFonts w:hint="eastAsia" w:ascii="宋体" w:hAnsi="宋体" w:cs="宋体"/>
              </w:rPr>
              <w:t>计算机学业水平考试平均分或合格率</w:t>
            </w:r>
          </w:p>
        </w:tc>
        <w:tc>
          <w:tcPr>
            <w:tcW w:w="1136" w:type="dxa"/>
            <w:vAlign w:val="center"/>
          </w:tcPr>
          <w:p>
            <w:pPr>
              <w:spacing w:line="360" w:lineRule="exact"/>
              <w:jc w:val="center"/>
              <w:rPr>
                <w:rFonts w:ascii="宋体" w:cs="宋体"/>
              </w:rPr>
            </w:pPr>
            <w:r>
              <w:rPr>
                <w:rFonts w:hint="eastAsia" w:ascii="宋体" w:hAnsi="宋体" w:cs="宋体"/>
              </w:rPr>
              <w:t>计算机学业水平考优秀率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pPr>
              <w:adjustRightInd w:val="0"/>
              <w:snapToGrid w:val="0"/>
              <w:jc w:val="center"/>
              <w:rPr>
                <w:rFonts w:ascii="宋体"/>
              </w:rPr>
            </w:pPr>
            <w:r>
              <w:rPr>
                <w:rFonts w:ascii="宋体" w:hAnsi="宋体"/>
              </w:rPr>
              <w:t>201</w:t>
            </w:r>
            <w:r>
              <w:rPr>
                <w:rFonts w:hint="eastAsia" w:ascii="宋体" w:hAnsi="宋体"/>
              </w:rPr>
              <w:t>8</w:t>
            </w:r>
            <w:r>
              <w:rPr>
                <w:rFonts w:ascii="宋体" w:hAnsi="宋体"/>
              </w:rPr>
              <w:t>-201</w:t>
            </w:r>
            <w:r>
              <w:rPr>
                <w:rFonts w:hint="eastAsia" w:ascii="宋体" w:hAnsi="宋体"/>
              </w:rPr>
              <w:t>9学年</w:t>
            </w:r>
          </w:p>
        </w:tc>
        <w:tc>
          <w:tcPr>
            <w:tcW w:w="1440" w:type="dxa"/>
            <w:vAlign w:val="center"/>
          </w:tcPr>
          <w:p>
            <w:pPr>
              <w:spacing w:line="360" w:lineRule="exact"/>
              <w:jc w:val="center"/>
              <w:rPr>
                <w:rFonts w:ascii="宋体" w:cs="宋体"/>
              </w:rPr>
            </w:pPr>
            <w:r>
              <w:rPr>
                <w:rFonts w:hint="eastAsia" w:ascii="宋体" w:cs="宋体"/>
              </w:rPr>
              <w:t>94.50</w:t>
            </w:r>
            <w:r>
              <w:rPr>
                <w:rFonts w:ascii="宋体" w:cs="宋体"/>
              </w:rPr>
              <w:t>%</w:t>
            </w:r>
          </w:p>
        </w:tc>
        <w:tc>
          <w:tcPr>
            <w:tcW w:w="1289" w:type="dxa"/>
            <w:vAlign w:val="center"/>
          </w:tcPr>
          <w:p>
            <w:pPr>
              <w:spacing w:line="360" w:lineRule="exact"/>
              <w:jc w:val="center"/>
              <w:rPr>
                <w:rFonts w:ascii="宋体" w:cs="宋体"/>
              </w:rPr>
            </w:pPr>
            <w:r>
              <w:rPr>
                <w:rFonts w:ascii="宋体" w:cs="宋体"/>
              </w:rPr>
              <w:t>100%</w:t>
            </w:r>
          </w:p>
        </w:tc>
        <w:tc>
          <w:tcPr>
            <w:tcW w:w="1260" w:type="dxa"/>
            <w:vAlign w:val="center"/>
          </w:tcPr>
          <w:p>
            <w:pPr>
              <w:spacing w:line="360" w:lineRule="exact"/>
              <w:jc w:val="center"/>
              <w:rPr>
                <w:rFonts w:ascii="宋体" w:cs="宋体"/>
              </w:rPr>
            </w:pPr>
            <w:r>
              <w:rPr>
                <w:rFonts w:hint="eastAsia" w:ascii="宋体" w:cs="宋体"/>
              </w:rPr>
              <w:t>92.80</w:t>
            </w:r>
            <w:r>
              <w:rPr>
                <w:rFonts w:ascii="宋体" w:cs="宋体"/>
              </w:rPr>
              <w:t>%</w:t>
            </w:r>
          </w:p>
        </w:tc>
        <w:tc>
          <w:tcPr>
            <w:tcW w:w="1339" w:type="dxa"/>
            <w:vAlign w:val="center"/>
          </w:tcPr>
          <w:p>
            <w:pPr>
              <w:spacing w:line="360" w:lineRule="exact"/>
              <w:jc w:val="center"/>
              <w:rPr>
                <w:rFonts w:ascii="宋体" w:cs="宋体"/>
              </w:rPr>
            </w:pPr>
            <w:r>
              <w:rPr>
                <w:rFonts w:hint="eastAsia" w:ascii="宋体" w:hAnsi="宋体" w:cs="宋体"/>
              </w:rPr>
              <w:t>81.45</w:t>
            </w:r>
            <w:r>
              <w:rPr>
                <w:rFonts w:ascii="宋体" w:hAnsi="宋体" w:cs="宋体"/>
              </w:rPr>
              <w:t>%</w:t>
            </w:r>
          </w:p>
        </w:tc>
        <w:tc>
          <w:tcPr>
            <w:tcW w:w="1276" w:type="dxa"/>
            <w:vAlign w:val="center"/>
          </w:tcPr>
          <w:p>
            <w:pPr>
              <w:spacing w:line="360" w:lineRule="exact"/>
              <w:jc w:val="center"/>
              <w:rPr>
                <w:rFonts w:asciiTheme="minorEastAsia" w:hAnsiTheme="minorEastAsia" w:eastAsiaTheme="minorEastAsia"/>
                <w:kern w:val="0"/>
              </w:rPr>
            </w:pPr>
            <w:r>
              <w:rPr>
                <w:rFonts w:hint="eastAsia" w:asciiTheme="minorEastAsia" w:hAnsiTheme="minorEastAsia" w:eastAsiaTheme="minorEastAsia"/>
                <w:kern w:val="0"/>
              </w:rPr>
              <w:t>95.01%</w:t>
            </w:r>
          </w:p>
        </w:tc>
        <w:tc>
          <w:tcPr>
            <w:tcW w:w="1136" w:type="dxa"/>
            <w:vAlign w:val="center"/>
          </w:tcPr>
          <w:p>
            <w:pPr>
              <w:spacing w:line="360" w:lineRule="exact"/>
              <w:jc w:val="center"/>
              <w:rPr>
                <w:rFonts w:asciiTheme="minorEastAsia" w:hAnsiTheme="minorEastAsia" w:eastAsiaTheme="minorEastAsia"/>
                <w:kern w:val="0"/>
              </w:rPr>
            </w:pPr>
            <w:r>
              <w:rPr>
                <w:rFonts w:hint="eastAsia" w:asciiTheme="minorEastAsia" w:hAnsiTheme="minorEastAsia" w:eastAsiaTheme="minorEastAsia"/>
                <w:kern w:val="0"/>
              </w:rPr>
              <w:t>5.26</w:t>
            </w:r>
            <w:r>
              <w:rPr>
                <w:rFonts w:asciiTheme="minorEastAsia" w:hAnsiTheme="minorEastAsia" w:eastAsiaTheme="minorEastAsia"/>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pPr>
              <w:adjustRightInd w:val="0"/>
              <w:snapToGrid w:val="0"/>
              <w:jc w:val="center"/>
              <w:rPr>
                <w:rFonts w:ascii="宋体"/>
              </w:rPr>
            </w:pPr>
            <w:r>
              <w:rPr>
                <w:rFonts w:ascii="宋体" w:hAnsi="宋体"/>
              </w:rPr>
              <w:t>201</w:t>
            </w:r>
            <w:r>
              <w:rPr>
                <w:rFonts w:hint="eastAsia" w:ascii="宋体" w:hAnsi="宋体"/>
              </w:rPr>
              <w:t>9</w:t>
            </w:r>
            <w:r>
              <w:rPr>
                <w:rFonts w:ascii="宋体" w:hAnsi="宋体"/>
              </w:rPr>
              <w:t>-20</w:t>
            </w:r>
            <w:r>
              <w:rPr>
                <w:rFonts w:hint="eastAsia" w:ascii="宋体" w:hAnsi="宋体"/>
              </w:rPr>
              <w:t>20学年</w:t>
            </w:r>
          </w:p>
        </w:tc>
        <w:tc>
          <w:tcPr>
            <w:tcW w:w="1440" w:type="dxa"/>
            <w:vAlign w:val="center"/>
          </w:tcPr>
          <w:p>
            <w:pPr>
              <w:spacing w:line="360" w:lineRule="exact"/>
              <w:jc w:val="center"/>
              <w:rPr>
                <w:rFonts w:ascii="宋体" w:cs="宋体"/>
              </w:rPr>
            </w:pPr>
            <w:r>
              <w:rPr>
                <w:rFonts w:ascii="宋体" w:cs="宋体"/>
              </w:rPr>
              <w:t>9</w:t>
            </w:r>
            <w:r>
              <w:rPr>
                <w:rFonts w:hint="eastAsia" w:ascii="宋体" w:cs="宋体"/>
              </w:rPr>
              <w:t>5.00</w:t>
            </w:r>
            <w:r>
              <w:rPr>
                <w:rFonts w:ascii="宋体" w:cs="宋体"/>
              </w:rPr>
              <w:t>%</w:t>
            </w:r>
          </w:p>
        </w:tc>
        <w:tc>
          <w:tcPr>
            <w:tcW w:w="1289" w:type="dxa"/>
            <w:vAlign w:val="center"/>
          </w:tcPr>
          <w:p>
            <w:pPr>
              <w:spacing w:line="360" w:lineRule="exact"/>
              <w:jc w:val="center"/>
              <w:rPr>
                <w:rFonts w:ascii="宋体" w:cs="宋体"/>
              </w:rPr>
            </w:pPr>
            <w:r>
              <w:rPr>
                <w:rFonts w:ascii="宋体" w:cs="宋体"/>
              </w:rPr>
              <w:t>91.44%</w:t>
            </w:r>
          </w:p>
        </w:tc>
        <w:tc>
          <w:tcPr>
            <w:tcW w:w="1260" w:type="dxa"/>
            <w:vAlign w:val="center"/>
          </w:tcPr>
          <w:p>
            <w:pPr>
              <w:spacing w:line="360" w:lineRule="exact"/>
              <w:jc w:val="center"/>
              <w:rPr>
                <w:rFonts w:ascii="宋体" w:cs="宋体"/>
              </w:rPr>
            </w:pPr>
            <w:r>
              <w:rPr>
                <w:rFonts w:hint="eastAsia" w:ascii="宋体" w:cs="宋体"/>
              </w:rPr>
              <w:t>83.80</w:t>
            </w:r>
            <w:r>
              <w:rPr>
                <w:rFonts w:ascii="宋体" w:cs="宋体"/>
              </w:rPr>
              <w:t>%</w:t>
            </w:r>
          </w:p>
        </w:tc>
        <w:tc>
          <w:tcPr>
            <w:tcW w:w="1339" w:type="dxa"/>
            <w:vAlign w:val="center"/>
          </w:tcPr>
          <w:p>
            <w:pPr>
              <w:spacing w:line="360" w:lineRule="exact"/>
              <w:jc w:val="center"/>
              <w:rPr>
                <w:rFonts w:ascii="宋体" w:cs="宋体"/>
              </w:rPr>
            </w:pPr>
            <w:r>
              <w:rPr>
                <w:rFonts w:hint="eastAsia" w:ascii="宋体" w:hAnsi="宋体" w:cs="宋体"/>
              </w:rPr>
              <w:t>87.93</w:t>
            </w:r>
            <w:r>
              <w:rPr>
                <w:rFonts w:ascii="宋体" w:hAnsi="宋体" w:cs="宋体"/>
              </w:rPr>
              <w:t>%</w:t>
            </w:r>
          </w:p>
        </w:tc>
        <w:tc>
          <w:tcPr>
            <w:tcW w:w="1276" w:type="dxa"/>
            <w:vAlign w:val="center"/>
          </w:tcPr>
          <w:p>
            <w:pPr>
              <w:spacing w:line="360" w:lineRule="exact"/>
              <w:jc w:val="center"/>
              <w:rPr>
                <w:rFonts w:asciiTheme="minorEastAsia" w:hAnsiTheme="minorEastAsia" w:eastAsiaTheme="minorEastAsia"/>
                <w:kern w:val="0"/>
              </w:rPr>
            </w:pPr>
            <w:r>
              <w:rPr>
                <w:rFonts w:hint="eastAsia" w:asciiTheme="minorEastAsia" w:hAnsiTheme="minorEastAsia" w:eastAsiaTheme="minorEastAsia"/>
                <w:kern w:val="0"/>
              </w:rPr>
              <w:t>92.48%</w:t>
            </w:r>
          </w:p>
        </w:tc>
        <w:tc>
          <w:tcPr>
            <w:tcW w:w="1136" w:type="dxa"/>
            <w:vAlign w:val="center"/>
          </w:tcPr>
          <w:p>
            <w:pPr>
              <w:spacing w:line="360" w:lineRule="exact"/>
              <w:jc w:val="center"/>
              <w:rPr>
                <w:rFonts w:asciiTheme="minorEastAsia" w:hAnsiTheme="minorEastAsia" w:eastAsiaTheme="minorEastAsia"/>
                <w:kern w:val="0"/>
              </w:rPr>
            </w:pPr>
            <w:r>
              <w:rPr>
                <w:rFonts w:hint="eastAsia" w:asciiTheme="minorEastAsia" w:hAnsiTheme="minorEastAsia" w:eastAsiaTheme="minorEastAsia"/>
                <w:kern w:val="0"/>
              </w:rPr>
              <w:t>0.94</w:t>
            </w:r>
            <w:r>
              <w:rPr>
                <w:rFonts w:asciiTheme="minorEastAsia" w:hAnsiTheme="minorEastAsia" w:eastAsiaTheme="minorEastAsia"/>
                <w:kern w:val="0"/>
              </w:rPr>
              <w:t>%</w:t>
            </w:r>
          </w:p>
        </w:tc>
      </w:tr>
    </w:tbl>
    <w:p>
      <w:pPr>
        <w:spacing w:line="360" w:lineRule="auto"/>
        <w:ind w:firstLine="420" w:firstLineChars="200"/>
        <w:rPr>
          <w:rFonts w:ascii="宋体" w:cs="仿宋"/>
          <w:sz w:val="24"/>
        </w:rPr>
      </w:pPr>
      <w:r>
        <w:rPr>
          <w:rFonts w:hint="eastAsia" w:ascii="宋体"/>
        </w:rPr>
        <w:t>表</w:t>
      </w:r>
      <w:r>
        <w:rPr>
          <w:rFonts w:ascii="宋体"/>
        </w:rPr>
        <w:t>4</w:t>
      </w:r>
      <w:r>
        <w:rPr>
          <w:rFonts w:hint="eastAsia" w:ascii="宋体"/>
        </w:rPr>
        <w:t>数据来源：学校教务处统计提供</w:t>
      </w:r>
    </w:p>
    <w:p>
      <w:pPr>
        <w:shd w:val="clear" w:color="auto" w:fill="FFFFFF"/>
        <w:spacing w:line="400" w:lineRule="exact"/>
        <w:ind w:firstLine="450"/>
        <w:rPr>
          <w:rFonts w:ascii="宋体"/>
          <w:color w:val="000000"/>
          <w:sz w:val="24"/>
          <w:szCs w:val="24"/>
        </w:rPr>
      </w:pPr>
      <w:r>
        <w:rPr>
          <w:rFonts w:ascii="宋体" w:hAnsi="宋体"/>
          <w:color w:val="000000"/>
          <w:sz w:val="24"/>
          <w:szCs w:val="24"/>
        </w:rPr>
        <w:t>201</w:t>
      </w:r>
      <w:r>
        <w:rPr>
          <w:rFonts w:hint="eastAsia" w:ascii="宋体" w:hAnsi="宋体"/>
          <w:color w:val="000000"/>
          <w:sz w:val="24"/>
          <w:szCs w:val="24"/>
        </w:rPr>
        <w:t>9</w:t>
      </w:r>
      <w:r>
        <w:rPr>
          <w:rFonts w:ascii="宋体" w:hAnsi="宋体"/>
          <w:color w:val="000000"/>
          <w:sz w:val="24"/>
          <w:szCs w:val="24"/>
        </w:rPr>
        <w:t>—20</w:t>
      </w:r>
      <w:r>
        <w:rPr>
          <w:rFonts w:hint="eastAsia" w:ascii="宋体" w:hAnsi="宋体"/>
          <w:color w:val="000000"/>
          <w:sz w:val="24"/>
          <w:szCs w:val="24"/>
        </w:rPr>
        <w:t>20学年，2019级327人参加福建省中等职业学校学生学业水平考试：</w:t>
      </w:r>
    </w:p>
    <w:p>
      <w:pPr>
        <w:shd w:val="clear" w:color="auto" w:fill="FFFFFF"/>
        <w:spacing w:line="400" w:lineRule="exact"/>
        <w:ind w:firstLine="450"/>
        <w:rPr>
          <w:rFonts w:ascii="宋体"/>
          <w:color w:val="000000"/>
          <w:sz w:val="24"/>
          <w:szCs w:val="24"/>
        </w:rPr>
      </w:pPr>
      <w:r>
        <w:rPr>
          <w:rFonts w:hint="eastAsia" w:ascii="宋体" w:hAnsi="宋体"/>
          <w:color w:val="000000"/>
          <w:sz w:val="24"/>
          <w:szCs w:val="24"/>
        </w:rPr>
        <w:t>计算机应用基础考试：合格率92.48</w:t>
      </w:r>
      <w:r>
        <w:rPr>
          <w:rFonts w:ascii="宋体" w:hAnsi="宋体"/>
          <w:color w:val="000000"/>
          <w:sz w:val="24"/>
          <w:szCs w:val="24"/>
        </w:rPr>
        <w:t>%</w:t>
      </w:r>
      <w:r>
        <w:rPr>
          <w:rFonts w:hint="eastAsia" w:ascii="宋体" w:hAnsi="宋体"/>
          <w:color w:val="000000"/>
          <w:sz w:val="24"/>
          <w:szCs w:val="24"/>
        </w:rPr>
        <w:t>，优秀率0.94</w:t>
      </w:r>
      <w:r>
        <w:rPr>
          <w:rFonts w:ascii="宋体" w:hAnsi="宋体"/>
          <w:color w:val="000000"/>
          <w:sz w:val="24"/>
          <w:szCs w:val="24"/>
        </w:rPr>
        <w:t>%</w:t>
      </w:r>
      <w:r>
        <w:rPr>
          <w:rFonts w:hint="eastAsia" w:ascii="宋体" w:hAnsi="宋体"/>
          <w:color w:val="000000"/>
          <w:sz w:val="24"/>
          <w:szCs w:val="24"/>
        </w:rPr>
        <w:t>。</w:t>
      </w:r>
    </w:p>
    <w:p>
      <w:pPr>
        <w:shd w:val="clear" w:color="auto" w:fill="FFFFFF"/>
        <w:spacing w:line="400" w:lineRule="exact"/>
        <w:ind w:firstLine="2400" w:firstLineChars="1000"/>
        <w:rPr>
          <w:rFonts w:ascii="宋体"/>
          <w:color w:val="000000"/>
          <w:sz w:val="24"/>
          <w:szCs w:val="24"/>
        </w:rPr>
      </w:pPr>
      <w:r>
        <w:rPr>
          <w:rFonts w:hint="eastAsia" w:ascii="宋体" w:hAnsi="宋体"/>
          <w:color w:val="000000"/>
          <w:sz w:val="24"/>
          <w:szCs w:val="24"/>
        </w:rPr>
        <w:t>2018级339人参加福建省中等职业学校学生学业水平考试：</w:t>
      </w:r>
    </w:p>
    <w:p>
      <w:pPr>
        <w:spacing w:line="400" w:lineRule="exact"/>
        <w:ind w:firstLine="480" w:firstLineChars="200"/>
        <w:rPr>
          <w:rFonts w:asciiTheme="minorEastAsia" w:hAnsiTheme="minorEastAsia" w:eastAsiaTheme="minorEastAsia"/>
          <w:sz w:val="24"/>
          <w:szCs w:val="24"/>
        </w:rPr>
      </w:pPr>
      <w:r>
        <w:rPr>
          <w:rFonts w:hint="eastAsia" w:ascii="宋体" w:hAnsi="宋体"/>
          <w:color w:val="000000"/>
          <w:sz w:val="24"/>
          <w:szCs w:val="24"/>
        </w:rPr>
        <w:t>公共基础知识综合卷</w:t>
      </w:r>
      <w:r>
        <w:rPr>
          <w:rFonts w:ascii="宋体" w:hAnsi="宋体"/>
          <w:color w:val="000000"/>
          <w:sz w:val="24"/>
          <w:szCs w:val="24"/>
        </w:rPr>
        <w:t>I+</w:t>
      </w:r>
      <w:r>
        <w:rPr>
          <w:rFonts w:hint="eastAsia" w:ascii="宋体" w:hAnsi="宋体"/>
          <w:color w:val="000000"/>
          <w:sz w:val="24"/>
          <w:szCs w:val="24"/>
        </w:rPr>
        <w:t>卷</w:t>
      </w:r>
      <w:r>
        <w:rPr>
          <w:rFonts w:ascii="宋体" w:hAnsi="宋体"/>
          <w:color w:val="000000"/>
          <w:sz w:val="24"/>
          <w:szCs w:val="24"/>
        </w:rPr>
        <w:t>II</w:t>
      </w:r>
      <w:r>
        <w:rPr>
          <w:rFonts w:hint="eastAsia" w:ascii="宋体" w:hAnsi="宋体"/>
          <w:color w:val="000000"/>
          <w:sz w:val="24"/>
          <w:szCs w:val="24"/>
        </w:rPr>
        <w:t>（</w:t>
      </w:r>
      <w:r>
        <w:rPr>
          <w:rFonts w:ascii="宋体" w:hAnsi="宋体"/>
          <w:color w:val="000000"/>
          <w:sz w:val="24"/>
          <w:szCs w:val="24"/>
        </w:rPr>
        <w:t>300</w:t>
      </w:r>
      <w:r>
        <w:rPr>
          <w:rFonts w:hint="eastAsia" w:ascii="宋体" w:hAnsi="宋体"/>
          <w:color w:val="000000"/>
          <w:sz w:val="24"/>
          <w:szCs w:val="24"/>
        </w:rPr>
        <w:t>分）：合格卷</w:t>
      </w:r>
      <w:r>
        <w:rPr>
          <w:rFonts w:hint="eastAsia" w:asciiTheme="minorEastAsia" w:hAnsiTheme="minorEastAsia" w:eastAsiaTheme="minorEastAsia"/>
          <w:sz w:val="24"/>
          <w:szCs w:val="24"/>
        </w:rPr>
        <w:t>合格322人，不合格17人，其中美术专业不合格12人，学前教育不合格5人，合格率95.00%，优秀率1.77%。</w:t>
      </w:r>
    </w:p>
    <w:p>
      <w:pPr>
        <w:spacing w:line="400" w:lineRule="exact"/>
        <w:ind w:firstLine="480" w:firstLineChars="200"/>
        <w:rPr>
          <w:rFonts w:asciiTheme="minorEastAsia" w:hAnsiTheme="minorEastAsia" w:eastAsiaTheme="minorEastAsia"/>
          <w:sz w:val="24"/>
          <w:szCs w:val="24"/>
        </w:rPr>
      </w:pPr>
      <w:r>
        <w:rPr>
          <w:rFonts w:hint="eastAsia" w:ascii="宋体" w:hAnsi="宋体"/>
          <w:color w:val="000000"/>
          <w:sz w:val="24"/>
          <w:szCs w:val="24"/>
        </w:rPr>
        <w:t>专业基础知识综合卷</w:t>
      </w:r>
      <w:r>
        <w:rPr>
          <w:rFonts w:ascii="宋体" w:hAnsi="宋体"/>
          <w:color w:val="000000"/>
          <w:sz w:val="24"/>
          <w:szCs w:val="24"/>
        </w:rPr>
        <w:t>I+</w:t>
      </w:r>
      <w:r>
        <w:rPr>
          <w:rFonts w:hint="eastAsia" w:ascii="宋体" w:hAnsi="宋体"/>
          <w:color w:val="000000"/>
          <w:sz w:val="24"/>
          <w:szCs w:val="24"/>
        </w:rPr>
        <w:t>卷</w:t>
      </w:r>
      <w:r>
        <w:rPr>
          <w:rFonts w:ascii="宋体" w:hAnsi="宋体"/>
          <w:color w:val="000000"/>
          <w:sz w:val="24"/>
          <w:szCs w:val="24"/>
        </w:rPr>
        <w:t>II</w:t>
      </w:r>
      <w:r>
        <w:rPr>
          <w:rFonts w:hint="eastAsia" w:ascii="宋体" w:hAnsi="宋体"/>
          <w:color w:val="000000"/>
          <w:sz w:val="24"/>
          <w:szCs w:val="24"/>
        </w:rPr>
        <w:t>（</w:t>
      </w:r>
      <w:r>
        <w:rPr>
          <w:rFonts w:ascii="宋体" w:hAnsi="宋体"/>
          <w:color w:val="000000"/>
          <w:sz w:val="24"/>
          <w:szCs w:val="24"/>
        </w:rPr>
        <w:t>250</w:t>
      </w:r>
      <w:r>
        <w:rPr>
          <w:rFonts w:hint="eastAsia" w:ascii="宋体" w:hAnsi="宋体"/>
          <w:color w:val="000000"/>
          <w:sz w:val="24"/>
          <w:szCs w:val="24"/>
        </w:rPr>
        <w:t>分）：合格卷</w:t>
      </w:r>
      <w:r>
        <w:rPr>
          <w:rFonts w:hint="eastAsia" w:asciiTheme="minorEastAsia" w:hAnsiTheme="minorEastAsia" w:eastAsiaTheme="minorEastAsia"/>
          <w:sz w:val="24"/>
          <w:szCs w:val="24"/>
        </w:rPr>
        <w:t>合格327人，不合格12人，其中美术专业不合格9人，学前教育专业不合格3人，合格率96.46%，优秀率1.18%。</w:t>
      </w:r>
    </w:p>
    <w:p>
      <w:pPr>
        <w:shd w:val="clear" w:color="auto" w:fill="FFFFFF"/>
        <w:spacing w:line="280" w:lineRule="exact"/>
        <w:ind w:firstLine="450"/>
        <w:rPr>
          <w:rFonts w:ascii="宋体"/>
          <w:b/>
          <w:color w:val="000000"/>
          <w:sz w:val="28"/>
          <w:szCs w:val="28"/>
        </w:rPr>
      </w:pPr>
    </w:p>
    <w:p>
      <w:pPr>
        <w:shd w:val="clear" w:color="auto" w:fill="FFFFFF"/>
        <w:spacing w:line="280" w:lineRule="exact"/>
        <w:ind w:firstLine="450"/>
        <w:rPr>
          <w:rFonts w:ascii="宋体"/>
          <w:b/>
          <w:color w:val="000000"/>
          <w:sz w:val="28"/>
          <w:szCs w:val="28"/>
        </w:rPr>
      </w:pPr>
      <w:r>
        <w:rPr>
          <w:rFonts w:ascii="宋体" w:hAnsi="宋体"/>
          <w:b/>
          <w:color w:val="000000"/>
          <w:sz w:val="28"/>
          <w:szCs w:val="28"/>
        </w:rPr>
        <w:t>2.2</w:t>
      </w:r>
      <w:r>
        <w:rPr>
          <w:rFonts w:hint="eastAsia" w:ascii="宋体" w:hAnsi="宋体"/>
          <w:b/>
          <w:color w:val="000000"/>
          <w:sz w:val="28"/>
          <w:szCs w:val="28"/>
        </w:rPr>
        <w:t>在校体验</w:t>
      </w:r>
    </w:p>
    <w:p>
      <w:pPr>
        <w:spacing w:line="400" w:lineRule="exact"/>
        <w:ind w:firstLine="480" w:firstLineChars="200"/>
        <w:rPr>
          <w:rFonts w:ascii="宋体"/>
          <w:sz w:val="24"/>
        </w:rPr>
      </w:pPr>
    </w:p>
    <w:p>
      <w:pPr>
        <w:spacing w:line="400" w:lineRule="exact"/>
        <w:ind w:firstLine="480" w:firstLineChars="200"/>
        <w:rPr>
          <w:rFonts w:ascii="宋体"/>
          <w:sz w:val="24"/>
        </w:rPr>
      </w:pPr>
      <w:r>
        <w:rPr>
          <w:rFonts w:hint="eastAsia" w:ascii="宋体" w:hAnsi="宋体"/>
          <w:sz w:val="24"/>
        </w:rPr>
        <w:t>在校体验主要包括理论学习满意度、专业学习满意度、实习实训满意度、校园文化与社团活动满意度、生活满意度、校园安全满意度、毕业生对学校满意度等。从相关的问卷调查结果来看，学生的在校体验满意度是比较高的，具体情况如下：</w:t>
      </w:r>
    </w:p>
    <w:p>
      <w:pPr>
        <w:spacing w:beforeLines="50" w:afterLines="50" w:line="420" w:lineRule="exact"/>
        <w:jc w:val="center"/>
        <w:rPr>
          <w:rFonts w:ascii="宋体"/>
          <w:sz w:val="24"/>
        </w:rPr>
      </w:pPr>
      <w:r>
        <w:rPr>
          <w:rFonts w:hint="eastAsia" w:ascii="宋体" w:hAnsi="宋体"/>
          <w:sz w:val="24"/>
        </w:rPr>
        <w:t>表</w:t>
      </w:r>
      <w:r>
        <w:rPr>
          <w:rFonts w:ascii="宋体" w:hAnsi="宋体"/>
          <w:sz w:val="24"/>
        </w:rPr>
        <w:t>5</w:t>
      </w:r>
      <w:r>
        <w:rPr>
          <w:rFonts w:hint="eastAsia" w:ascii="宋体" w:hAnsi="宋体"/>
          <w:sz w:val="24"/>
        </w:rPr>
        <w:t>：学生满意度表</w:t>
      </w:r>
    </w:p>
    <w:tbl>
      <w:tblPr>
        <w:tblStyle w:val="7"/>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482"/>
        <w:gridCol w:w="1630"/>
        <w:gridCol w:w="1482"/>
        <w:gridCol w:w="201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54" w:type="dxa"/>
            <w:vAlign w:val="center"/>
          </w:tcPr>
          <w:p>
            <w:pPr>
              <w:adjustRightInd w:val="0"/>
              <w:snapToGrid w:val="0"/>
              <w:jc w:val="center"/>
              <w:rPr>
                <w:rFonts w:ascii="宋体"/>
              </w:rPr>
            </w:pPr>
            <w:r>
              <w:rPr>
                <w:rFonts w:hint="eastAsia" w:ascii="宋体" w:hAnsi="宋体"/>
              </w:rPr>
              <w:t>满意度</w:t>
            </w:r>
          </w:p>
          <w:p>
            <w:pPr>
              <w:adjustRightInd w:val="0"/>
              <w:snapToGrid w:val="0"/>
              <w:jc w:val="center"/>
              <w:rPr>
                <w:rFonts w:ascii="宋体"/>
                <w:kern w:val="0"/>
              </w:rPr>
            </w:pPr>
            <w:r>
              <w:rPr>
                <w:rFonts w:hint="eastAsia" w:ascii="宋体" w:hAnsi="宋体"/>
              </w:rPr>
              <w:t>项目</w:t>
            </w:r>
          </w:p>
        </w:tc>
        <w:tc>
          <w:tcPr>
            <w:tcW w:w="1482" w:type="dxa"/>
            <w:vAlign w:val="center"/>
          </w:tcPr>
          <w:p>
            <w:pPr>
              <w:adjustRightInd w:val="0"/>
              <w:snapToGrid w:val="0"/>
              <w:jc w:val="center"/>
              <w:rPr>
                <w:rFonts w:ascii="宋体"/>
              </w:rPr>
            </w:pPr>
            <w:r>
              <w:rPr>
                <w:rFonts w:hint="eastAsia" w:ascii="宋体" w:hAnsi="宋体"/>
              </w:rPr>
              <w:t>理论学习</w:t>
            </w:r>
          </w:p>
          <w:p>
            <w:pPr>
              <w:adjustRightInd w:val="0"/>
              <w:snapToGrid w:val="0"/>
              <w:jc w:val="center"/>
              <w:rPr>
                <w:rFonts w:ascii="宋体"/>
              </w:rPr>
            </w:pPr>
            <w:r>
              <w:rPr>
                <w:rFonts w:hint="eastAsia" w:ascii="宋体" w:hAnsi="宋体"/>
              </w:rPr>
              <w:t>满意度（</w:t>
            </w:r>
            <w:r>
              <w:rPr>
                <w:rFonts w:ascii="宋体" w:hAnsi="宋体"/>
              </w:rPr>
              <w:t>%</w:t>
            </w:r>
            <w:r>
              <w:rPr>
                <w:rFonts w:hint="eastAsia" w:ascii="宋体" w:hAnsi="宋体"/>
              </w:rPr>
              <w:t>）</w:t>
            </w:r>
          </w:p>
        </w:tc>
        <w:tc>
          <w:tcPr>
            <w:tcW w:w="1630" w:type="dxa"/>
            <w:vAlign w:val="center"/>
          </w:tcPr>
          <w:p>
            <w:pPr>
              <w:adjustRightInd w:val="0"/>
              <w:snapToGrid w:val="0"/>
              <w:jc w:val="center"/>
              <w:rPr>
                <w:rFonts w:ascii="宋体"/>
              </w:rPr>
            </w:pPr>
            <w:r>
              <w:rPr>
                <w:rFonts w:hint="eastAsia" w:ascii="宋体" w:hAnsi="宋体"/>
              </w:rPr>
              <w:t>专业学习</w:t>
            </w:r>
          </w:p>
          <w:p>
            <w:pPr>
              <w:adjustRightInd w:val="0"/>
              <w:snapToGrid w:val="0"/>
              <w:jc w:val="center"/>
              <w:rPr>
                <w:rFonts w:ascii="宋体"/>
              </w:rPr>
            </w:pPr>
            <w:r>
              <w:rPr>
                <w:rFonts w:hint="eastAsia" w:ascii="宋体" w:hAnsi="宋体"/>
              </w:rPr>
              <w:t>满意度（</w:t>
            </w:r>
            <w:r>
              <w:rPr>
                <w:rFonts w:ascii="宋体" w:hAnsi="宋体"/>
              </w:rPr>
              <w:t>%</w:t>
            </w:r>
            <w:r>
              <w:rPr>
                <w:rFonts w:hint="eastAsia" w:ascii="宋体" w:hAnsi="宋体"/>
              </w:rPr>
              <w:t>）</w:t>
            </w:r>
          </w:p>
        </w:tc>
        <w:tc>
          <w:tcPr>
            <w:tcW w:w="1482" w:type="dxa"/>
            <w:vAlign w:val="center"/>
          </w:tcPr>
          <w:p>
            <w:pPr>
              <w:adjustRightInd w:val="0"/>
              <w:snapToGrid w:val="0"/>
              <w:jc w:val="center"/>
              <w:rPr>
                <w:rFonts w:ascii="宋体"/>
              </w:rPr>
            </w:pPr>
            <w:r>
              <w:rPr>
                <w:rFonts w:hint="eastAsia" w:ascii="宋体" w:hAnsi="宋体"/>
              </w:rPr>
              <w:t>实习实训</w:t>
            </w:r>
          </w:p>
          <w:p>
            <w:pPr>
              <w:adjustRightInd w:val="0"/>
              <w:snapToGrid w:val="0"/>
              <w:jc w:val="center"/>
              <w:rPr>
                <w:rFonts w:ascii="宋体"/>
              </w:rPr>
            </w:pPr>
            <w:r>
              <w:rPr>
                <w:rFonts w:hint="eastAsia" w:ascii="宋体" w:hAnsi="宋体"/>
              </w:rPr>
              <w:t>满意度（</w:t>
            </w:r>
            <w:r>
              <w:rPr>
                <w:rFonts w:ascii="宋体" w:hAnsi="宋体"/>
              </w:rPr>
              <w:t>%</w:t>
            </w:r>
            <w:r>
              <w:rPr>
                <w:rFonts w:hint="eastAsia" w:ascii="宋体" w:hAnsi="宋体"/>
              </w:rPr>
              <w:t>）</w:t>
            </w:r>
          </w:p>
        </w:tc>
        <w:tc>
          <w:tcPr>
            <w:tcW w:w="2019" w:type="dxa"/>
            <w:vAlign w:val="center"/>
          </w:tcPr>
          <w:p>
            <w:pPr>
              <w:adjustRightInd w:val="0"/>
              <w:snapToGrid w:val="0"/>
              <w:jc w:val="center"/>
              <w:rPr>
                <w:rFonts w:ascii="宋体"/>
              </w:rPr>
            </w:pPr>
            <w:r>
              <w:rPr>
                <w:rFonts w:hint="eastAsia" w:ascii="宋体" w:hAnsi="宋体"/>
              </w:rPr>
              <w:t>校园文化与社团活动满意度（</w:t>
            </w:r>
            <w:r>
              <w:rPr>
                <w:rFonts w:ascii="宋体" w:hAnsi="宋体"/>
              </w:rPr>
              <w:t>%</w:t>
            </w:r>
            <w:r>
              <w:rPr>
                <w:rFonts w:hint="eastAsia" w:ascii="宋体" w:hAnsi="宋体"/>
              </w:rPr>
              <w:t>）</w:t>
            </w:r>
          </w:p>
        </w:tc>
        <w:tc>
          <w:tcPr>
            <w:tcW w:w="889" w:type="dxa"/>
            <w:vAlign w:val="center"/>
          </w:tcPr>
          <w:p>
            <w:pPr>
              <w:adjustRightInd w:val="0"/>
              <w:snapToGrid w:val="0"/>
              <w:jc w:val="center"/>
              <w:rPr>
                <w:rFonts w:ascii="宋体"/>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4" w:type="dxa"/>
            <w:vAlign w:val="center"/>
          </w:tcPr>
          <w:p>
            <w:pPr>
              <w:adjustRightInd w:val="0"/>
              <w:snapToGrid w:val="0"/>
              <w:jc w:val="center"/>
              <w:rPr>
                <w:rFonts w:ascii="宋体"/>
              </w:rPr>
            </w:pPr>
            <w:r>
              <w:rPr>
                <w:rFonts w:hint="eastAsia" w:ascii="宋体" w:hAnsi="宋体"/>
              </w:rPr>
              <w:t>比例</w:t>
            </w:r>
          </w:p>
        </w:tc>
        <w:tc>
          <w:tcPr>
            <w:tcW w:w="1482" w:type="dxa"/>
            <w:vAlign w:val="center"/>
          </w:tcPr>
          <w:p>
            <w:pPr>
              <w:adjustRightInd w:val="0"/>
              <w:snapToGrid w:val="0"/>
              <w:jc w:val="center"/>
              <w:rPr>
                <w:rFonts w:ascii="宋体" w:cs="宋体"/>
                <w:b/>
              </w:rPr>
            </w:pPr>
            <w:r>
              <w:rPr>
                <w:rFonts w:ascii="宋体" w:hAnsi="宋体"/>
              </w:rPr>
              <w:t>97.</w:t>
            </w:r>
            <w:r>
              <w:rPr>
                <w:rFonts w:hint="eastAsia" w:ascii="宋体" w:hAnsi="宋体"/>
              </w:rPr>
              <w:t>1</w:t>
            </w:r>
            <w:r>
              <w:rPr>
                <w:rFonts w:ascii="宋体" w:hAnsi="宋体"/>
              </w:rPr>
              <w:t>%</w:t>
            </w:r>
          </w:p>
        </w:tc>
        <w:tc>
          <w:tcPr>
            <w:tcW w:w="1630" w:type="dxa"/>
            <w:vAlign w:val="center"/>
          </w:tcPr>
          <w:p>
            <w:pPr>
              <w:adjustRightInd w:val="0"/>
              <w:snapToGrid w:val="0"/>
              <w:jc w:val="center"/>
              <w:rPr>
                <w:rFonts w:ascii="宋体"/>
              </w:rPr>
            </w:pPr>
            <w:r>
              <w:rPr>
                <w:rFonts w:ascii="宋体" w:hAnsi="宋体"/>
              </w:rPr>
              <w:t>98.</w:t>
            </w:r>
            <w:r>
              <w:rPr>
                <w:rFonts w:hint="eastAsia" w:ascii="宋体" w:hAnsi="宋体"/>
              </w:rPr>
              <w:t>2</w:t>
            </w:r>
            <w:r>
              <w:rPr>
                <w:rFonts w:ascii="宋体" w:hAnsi="宋体"/>
              </w:rPr>
              <w:t>%</w:t>
            </w:r>
          </w:p>
        </w:tc>
        <w:tc>
          <w:tcPr>
            <w:tcW w:w="1482" w:type="dxa"/>
            <w:vAlign w:val="center"/>
          </w:tcPr>
          <w:p>
            <w:pPr>
              <w:adjustRightInd w:val="0"/>
              <w:snapToGrid w:val="0"/>
              <w:jc w:val="center"/>
              <w:rPr>
                <w:rFonts w:ascii="宋体"/>
              </w:rPr>
            </w:pPr>
            <w:r>
              <w:rPr>
                <w:rFonts w:ascii="宋体" w:hAnsi="宋体"/>
              </w:rPr>
              <w:t>9</w:t>
            </w:r>
            <w:r>
              <w:rPr>
                <w:rFonts w:hint="eastAsia" w:ascii="宋体" w:hAnsi="宋体"/>
              </w:rPr>
              <w:t>6</w:t>
            </w:r>
            <w:r>
              <w:rPr>
                <w:rFonts w:ascii="宋体"/>
              </w:rPr>
              <w:t>.</w:t>
            </w:r>
            <w:r>
              <w:rPr>
                <w:rFonts w:ascii="宋体" w:hAnsi="宋体"/>
              </w:rPr>
              <w:t>2%</w:t>
            </w:r>
          </w:p>
        </w:tc>
        <w:tc>
          <w:tcPr>
            <w:tcW w:w="2019" w:type="dxa"/>
            <w:vAlign w:val="center"/>
          </w:tcPr>
          <w:p>
            <w:pPr>
              <w:adjustRightInd w:val="0"/>
              <w:snapToGrid w:val="0"/>
              <w:jc w:val="center"/>
              <w:rPr>
                <w:rFonts w:ascii="宋体" w:cs="宋体"/>
                <w:b/>
              </w:rPr>
            </w:pPr>
            <w:r>
              <w:rPr>
                <w:rFonts w:ascii="宋体" w:hAnsi="宋体"/>
              </w:rPr>
              <w:t>99.5</w:t>
            </w:r>
          </w:p>
        </w:tc>
        <w:tc>
          <w:tcPr>
            <w:tcW w:w="889" w:type="dxa"/>
            <w:vMerge w:val="restart"/>
            <w:vAlign w:val="center"/>
          </w:tcPr>
          <w:p>
            <w:pPr>
              <w:adjustRightInd w:val="0"/>
              <w:snapToGrid w:val="0"/>
              <w:jc w:val="center"/>
              <w:rPr>
                <w:rFonts w:ascii="楷体" w:hAnsi="楷体" w:eastAsia="楷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4" w:type="dxa"/>
            <w:vAlign w:val="center"/>
          </w:tcPr>
          <w:p>
            <w:pPr>
              <w:adjustRightInd w:val="0"/>
              <w:snapToGrid w:val="0"/>
              <w:jc w:val="center"/>
              <w:rPr>
                <w:rFonts w:ascii="宋体"/>
              </w:rPr>
            </w:pPr>
            <w:r>
              <w:rPr>
                <w:rFonts w:hint="eastAsia" w:ascii="宋体" w:hAnsi="宋体"/>
              </w:rPr>
              <w:t>满意度</w:t>
            </w:r>
          </w:p>
          <w:p>
            <w:pPr>
              <w:adjustRightInd w:val="0"/>
              <w:snapToGrid w:val="0"/>
              <w:jc w:val="center"/>
              <w:rPr>
                <w:rFonts w:ascii="宋体"/>
                <w:kern w:val="0"/>
              </w:rPr>
            </w:pPr>
            <w:r>
              <w:rPr>
                <w:rFonts w:hint="eastAsia" w:ascii="宋体" w:hAnsi="宋体"/>
              </w:rPr>
              <w:t>项目</w:t>
            </w:r>
          </w:p>
        </w:tc>
        <w:tc>
          <w:tcPr>
            <w:tcW w:w="1482" w:type="dxa"/>
            <w:vAlign w:val="center"/>
          </w:tcPr>
          <w:p>
            <w:pPr>
              <w:adjustRightInd w:val="0"/>
              <w:snapToGrid w:val="0"/>
              <w:jc w:val="center"/>
              <w:rPr>
                <w:rFonts w:ascii="宋体" w:cs="宋体"/>
              </w:rPr>
            </w:pPr>
            <w:r>
              <w:rPr>
                <w:rFonts w:hint="eastAsia" w:ascii="宋体" w:hAnsi="宋体"/>
              </w:rPr>
              <w:t>生活满意度（</w:t>
            </w:r>
            <w:r>
              <w:rPr>
                <w:rFonts w:ascii="宋体" w:hAnsi="宋体"/>
              </w:rPr>
              <w:t>%</w:t>
            </w:r>
            <w:r>
              <w:rPr>
                <w:rFonts w:hint="eastAsia" w:ascii="宋体" w:hAnsi="宋体"/>
              </w:rPr>
              <w:t>）</w:t>
            </w:r>
          </w:p>
        </w:tc>
        <w:tc>
          <w:tcPr>
            <w:tcW w:w="1630" w:type="dxa"/>
            <w:vAlign w:val="center"/>
          </w:tcPr>
          <w:p>
            <w:pPr>
              <w:adjustRightInd w:val="0"/>
              <w:snapToGrid w:val="0"/>
              <w:jc w:val="center"/>
              <w:rPr>
                <w:rFonts w:ascii="宋体"/>
              </w:rPr>
            </w:pPr>
            <w:r>
              <w:rPr>
                <w:rFonts w:hint="eastAsia" w:ascii="宋体" w:hAnsi="宋体"/>
              </w:rPr>
              <w:t>校园安全满意度（</w:t>
            </w:r>
            <w:r>
              <w:rPr>
                <w:rFonts w:ascii="宋体" w:hAnsi="宋体"/>
              </w:rPr>
              <w:t>%</w:t>
            </w:r>
            <w:r>
              <w:rPr>
                <w:rFonts w:hint="eastAsia" w:ascii="宋体" w:hAnsi="宋体"/>
              </w:rPr>
              <w:t>）</w:t>
            </w:r>
          </w:p>
        </w:tc>
        <w:tc>
          <w:tcPr>
            <w:tcW w:w="1482" w:type="dxa"/>
            <w:vAlign w:val="center"/>
          </w:tcPr>
          <w:p>
            <w:pPr>
              <w:adjustRightInd w:val="0"/>
              <w:snapToGrid w:val="0"/>
              <w:jc w:val="center"/>
              <w:rPr>
                <w:rFonts w:ascii="宋体"/>
              </w:rPr>
            </w:pPr>
            <w:r>
              <w:rPr>
                <w:rFonts w:hint="eastAsia" w:ascii="宋体" w:hAnsi="宋体"/>
              </w:rPr>
              <w:t>毕业生对学校满意度（</w:t>
            </w:r>
            <w:r>
              <w:rPr>
                <w:rFonts w:ascii="宋体" w:hAnsi="宋体"/>
              </w:rPr>
              <w:t>%</w:t>
            </w:r>
            <w:r>
              <w:rPr>
                <w:rFonts w:hint="eastAsia" w:ascii="宋体" w:hAnsi="宋体"/>
              </w:rPr>
              <w:t>）</w:t>
            </w:r>
          </w:p>
        </w:tc>
        <w:tc>
          <w:tcPr>
            <w:tcW w:w="2019" w:type="dxa"/>
            <w:vAlign w:val="center"/>
          </w:tcPr>
          <w:p>
            <w:pPr>
              <w:adjustRightInd w:val="0"/>
              <w:snapToGrid w:val="0"/>
              <w:jc w:val="center"/>
              <w:rPr>
                <w:rFonts w:ascii="宋体"/>
                <w:b/>
              </w:rPr>
            </w:pPr>
          </w:p>
        </w:tc>
        <w:tc>
          <w:tcPr>
            <w:tcW w:w="889" w:type="dxa"/>
            <w:vMerge w:val="continue"/>
            <w:vAlign w:val="center"/>
          </w:tcPr>
          <w:p>
            <w:pPr>
              <w:adjustRightInd w:val="0"/>
              <w:snapToGrid w:val="0"/>
              <w:jc w:val="center"/>
              <w:rPr>
                <w:rFonts w:ascii="楷体" w:hAnsi="楷体" w:eastAsia="楷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54" w:type="dxa"/>
            <w:vAlign w:val="center"/>
          </w:tcPr>
          <w:p>
            <w:pPr>
              <w:adjustRightInd w:val="0"/>
              <w:snapToGrid w:val="0"/>
              <w:jc w:val="center"/>
              <w:rPr>
                <w:rFonts w:ascii="宋体"/>
              </w:rPr>
            </w:pPr>
            <w:r>
              <w:rPr>
                <w:rFonts w:hint="eastAsia" w:ascii="宋体" w:hAnsi="宋体"/>
              </w:rPr>
              <w:t>比例</w:t>
            </w:r>
          </w:p>
        </w:tc>
        <w:tc>
          <w:tcPr>
            <w:tcW w:w="1482" w:type="dxa"/>
            <w:vAlign w:val="center"/>
          </w:tcPr>
          <w:p>
            <w:pPr>
              <w:adjustRightInd w:val="0"/>
              <w:snapToGrid w:val="0"/>
              <w:jc w:val="center"/>
              <w:rPr>
                <w:rFonts w:ascii="宋体"/>
              </w:rPr>
            </w:pPr>
            <w:r>
              <w:rPr>
                <w:rFonts w:ascii="宋体" w:hAnsi="宋体"/>
              </w:rPr>
              <w:t>9</w:t>
            </w:r>
            <w:r>
              <w:rPr>
                <w:rFonts w:hint="eastAsia" w:ascii="宋体" w:hAnsi="宋体"/>
              </w:rPr>
              <w:t>6.2</w:t>
            </w:r>
            <w:r>
              <w:rPr>
                <w:rFonts w:ascii="宋体" w:hAnsi="宋体"/>
              </w:rPr>
              <w:t>%</w:t>
            </w:r>
          </w:p>
        </w:tc>
        <w:tc>
          <w:tcPr>
            <w:tcW w:w="1630" w:type="dxa"/>
            <w:vAlign w:val="center"/>
          </w:tcPr>
          <w:p>
            <w:pPr>
              <w:adjustRightInd w:val="0"/>
              <w:snapToGrid w:val="0"/>
              <w:jc w:val="center"/>
              <w:rPr>
                <w:rFonts w:ascii="宋体"/>
              </w:rPr>
            </w:pPr>
            <w:r>
              <w:rPr>
                <w:rFonts w:ascii="宋体" w:hAnsi="宋体"/>
              </w:rPr>
              <w:t>99%</w:t>
            </w:r>
          </w:p>
        </w:tc>
        <w:tc>
          <w:tcPr>
            <w:tcW w:w="1482" w:type="dxa"/>
            <w:vAlign w:val="center"/>
          </w:tcPr>
          <w:p>
            <w:pPr>
              <w:adjustRightInd w:val="0"/>
              <w:snapToGrid w:val="0"/>
              <w:jc w:val="center"/>
              <w:rPr>
                <w:rFonts w:ascii="宋体" w:cs="宋体"/>
                <w:b/>
              </w:rPr>
            </w:pPr>
            <w:r>
              <w:rPr>
                <w:rFonts w:ascii="宋体" w:hAnsi="宋体"/>
              </w:rPr>
              <w:t>9</w:t>
            </w:r>
            <w:r>
              <w:rPr>
                <w:rFonts w:hint="eastAsia" w:ascii="宋体" w:hAnsi="宋体"/>
              </w:rPr>
              <w:t>7</w:t>
            </w:r>
            <w:r>
              <w:rPr>
                <w:rFonts w:ascii="宋体" w:hAnsi="宋体"/>
              </w:rPr>
              <w:t>.8%</w:t>
            </w:r>
          </w:p>
        </w:tc>
        <w:tc>
          <w:tcPr>
            <w:tcW w:w="2019" w:type="dxa"/>
            <w:vAlign w:val="center"/>
          </w:tcPr>
          <w:p>
            <w:pPr>
              <w:adjustRightInd w:val="0"/>
              <w:snapToGrid w:val="0"/>
              <w:jc w:val="center"/>
              <w:rPr>
                <w:rFonts w:ascii="宋体" w:cs="宋体"/>
              </w:rPr>
            </w:pPr>
          </w:p>
        </w:tc>
        <w:tc>
          <w:tcPr>
            <w:tcW w:w="889" w:type="dxa"/>
            <w:vMerge w:val="continue"/>
            <w:vAlign w:val="center"/>
          </w:tcPr>
          <w:p>
            <w:pPr>
              <w:adjustRightInd w:val="0"/>
              <w:snapToGrid w:val="0"/>
              <w:jc w:val="center"/>
              <w:rPr>
                <w:rFonts w:ascii="楷体" w:hAnsi="楷体" w:eastAsia="楷体"/>
                <w:kern w:val="0"/>
              </w:rPr>
            </w:pPr>
          </w:p>
        </w:tc>
      </w:tr>
    </w:tbl>
    <w:p>
      <w:pPr>
        <w:shd w:val="clear" w:color="auto" w:fill="FFFFFF"/>
        <w:spacing w:line="280" w:lineRule="exact"/>
        <w:ind w:firstLine="450"/>
        <w:rPr>
          <w:rFonts w:ascii="宋体"/>
          <w:b/>
          <w:color w:val="000000"/>
          <w:sz w:val="24"/>
          <w:szCs w:val="24"/>
        </w:rPr>
      </w:pPr>
      <w:r>
        <w:rPr>
          <w:rFonts w:hint="eastAsia" w:ascii="宋体"/>
        </w:rPr>
        <w:t>表</w:t>
      </w:r>
      <w:r>
        <w:rPr>
          <w:rFonts w:ascii="宋体"/>
        </w:rPr>
        <w:t>5</w:t>
      </w:r>
      <w:r>
        <w:rPr>
          <w:rFonts w:hint="eastAsia" w:ascii="宋体"/>
        </w:rPr>
        <w:t>数据来源：学校教务处、招就办、保卫科统计提供</w:t>
      </w:r>
    </w:p>
    <w:p>
      <w:pPr>
        <w:spacing w:line="280" w:lineRule="exact"/>
        <w:rPr>
          <w:rFonts w:ascii="宋体" w:cs="宋体"/>
          <w:color w:val="000000"/>
        </w:rPr>
      </w:pPr>
    </w:p>
    <w:p>
      <w:pPr>
        <w:spacing w:line="400" w:lineRule="exact"/>
        <w:ind w:firstLine="413" w:firstLineChars="147"/>
        <w:rPr>
          <w:rFonts w:ascii="宋体"/>
          <w:b/>
          <w:color w:val="000000"/>
          <w:sz w:val="28"/>
          <w:szCs w:val="28"/>
        </w:rPr>
      </w:pPr>
      <w:r>
        <w:rPr>
          <w:rFonts w:ascii="宋体" w:hAnsi="宋体"/>
          <w:b/>
          <w:color w:val="000000"/>
          <w:sz w:val="28"/>
          <w:szCs w:val="28"/>
        </w:rPr>
        <w:t>2.3</w:t>
      </w:r>
      <w:r>
        <w:rPr>
          <w:rFonts w:hint="eastAsia" w:ascii="宋体" w:hAnsi="宋体"/>
          <w:b/>
          <w:color w:val="000000"/>
          <w:sz w:val="28"/>
          <w:szCs w:val="28"/>
        </w:rPr>
        <w:t>资助情况</w:t>
      </w:r>
    </w:p>
    <w:p>
      <w:pPr>
        <w:spacing w:line="400" w:lineRule="exact"/>
        <w:ind w:firstLine="480" w:firstLineChars="200"/>
        <w:rPr>
          <w:rFonts w:ascii="宋体"/>
          <w:color w:val="000000"/>
          <w:sz w:val="24"/>
          <w:szCs w:val="24"/>
        </w:rPr>
      </w:pPr>
    </w:p>
    <w:p>
      <w:pPr>
        <w:spacing w:line="400" w:lineRule="exact"/>
        <w:ind w:firstLine="480" w:firstLineChars="200"/>
        <w:rPr>
          <w:rFonts w:ascii="宋体"/>
          <w:color w:val="000000"/>
          <w:sz w:val="24"/>
          <w:szCs w:val="24"/>
        </w:rPr>
      </w:pPr>
      <w:r>
        <w:rPr>
          <w:rFonts w:hint="eastAsia" w:ascii="宋体" w:hAnsi="宋体"/>
          <w:color w:val="000000"/>
          <w:sz w:val="24"/>
          <w:szCs w:val="24"/>
        </w:rPr>
        <w:t>学校严格落实国家和省市政府有关中等职业教育国家免学费和国家助学金政策，</w:t>
      </w:r>
      <w:r>
        <w:rPr>
          <w:rFonts w:ascii="宋体" w:hAnsi="宋体"/>
          <w:color w:val="000000"/>
          <w:sz w:val="24"/>
          <w:szCs w:val="24"/>
        </w:rPr>
        <w:t>201</w:t>
      </w:r>
      <w:r>
        <w:rPr>
          <w:rFonts w:hint="eastAsia" w:ascii="宋体" w:hAnsi="宋体"/>
          <w:color w:val="000000"/>
          <w:sz w:val="24"/>
          <w:szCs w:val="24"/>
        </w:rPr>
        <w:t>9</w:t>
      </w:r>
      <w:r>
        <w:rPr>
          <w:rFonts w:ascii="宋体" w:hAnsi="宋体"/>
          <w:color w:val="000000"/>
          <w:sz w:val="24"/>
          <w:szCs w:val="24"/>
        </w:rPr>
        <w:t>-20</w:t>
      </w:r>
      <w:r>
        <w:rPr>
          <w:rFonts w:hint="eastAsia" w:ascii="宋体" w:hAnsi="宋体"/>
          <w:color w:val="000000"/>
          <w:sz w:val="24"/>
          <w:szCs w:val="24"/>
        </w:rPr>
        <w:t>20学年在校生956人全部享受国家免学费政策。按国家要求符合条件并提出申请助学金的一、二年级的学生全部享受每月</w:t>
      </w:r>
      <w:r>
        <w:rPr>
          <w:rFonts w:ascii="宋体" w:hAnsi="宋体"/>
          <w:color w:val="000000"/>
          <w:sz w:val="24"/>
          <w:szCs w:val="24"/>
        </w:rPr>
        <w:t>200</w:t>
      </w:r>
      <w:r>
        <w:rPr>
          <w:rFonts w:hint="eastAsia" w:ascii="宋体" w:hAnsi="宋体"/>
          <w:color w:val="000000"/>
          <w:sz w:val="24"/>
          <w:szCs w:val="24"/>
        </w:rPr>
        <w:t>元的国家助学金（</w:t>
      </w:r>
      <w:r>
        <w:rPr>
          <w:rFonts w:ascii="宋体" w:hAnsi="宋体"/>
          <w:color w:val="000000"/>
          <w:sz w:val="24"/>
          <w:szCs w:val="24"/>
        </w:rPr>
        <w:t>201</w:t>
      </w:r>
      <w:r>
        <w:rPr>
          <w:rFonts w:hint="eastAsia" w:ascii="宋体" w:hAnsi="宋体"/>
          <w:color w:val="000000"/>
          <w:sz w:val="24"/>
          <w:szCs w:val="24"/>
        </w:rPr>
        <w:t>8</w:t>
      </w:r>
      <w:r>
        <w:rPr>
          <w:rFonts w:ascii="宋体"/>
          <w:color w:val="000000"/>
          <w:sz w:val="24"/>
          <w:szCs w:val="24"/>
        </w:rPr>
        <w:t>-</w:t>
      </w:r>
      <w:r>
        <w:rPr>
          <w:rFonts w:ascii="宋体" w:hAnsi="宋体" w:cs="仿宋"/>
          <w:sz w:val="24"/>
        </w:rPr>
        <w:t>201</w:t>
      </w:r>
      <w:r>
        <w:rPr>
          <w:rFonts w:hint="eastAsia" w:ascii="宋体" w:hAnsi="宋体" w:cs="仿宋"/>
          <w:sz w:val="24"/>
        </w:rPr>
        <w:t>9学年有20人、</w:t>
      </w:r>
      <w:r>
        <w:rPr>
          <w:rFonts w:ascii="宋体" w:hAnsi="宋体"/>
          <w:color w:val="000000"/>
          <w:sz w:val="24"/>
          <w:szCs w:val="24"/>
        </w:rPr>
        <w:t>201</w:t>
      </w:r>
      <w:r>
        <w:rPr>
          <w:rFonts w:hint="eastAsia" w:ascii="宋体" w:hAnsi="宋体"/>
          <w:color w:val="000000"/>
          <w:sz w:val="24"/>
          <w:szCs w:val="24"/>
        </w:rPr>
        <w:t>9</w:t>
      </w:r>
      <w:r>
        <w:rPr>
          <w:rFonts w:ascii="宋体"/>
          <w:color w:val="000000"/>
          <w:sz w:val="24"/>
          <w:szCs w:val="24"/>
        </w:rPr>
        <w:t>-</w:t>
      </w:r>
      <w:r>
        <w:rPr>
          <w:rFonts w:ascii="宋体" w:hAnsi="宋体" w:cs="仿宋"/>
          <w:sz w:val="24"/>
        </w:rPr>
        <w:t>20</w:t>
      </w:r>
      <w:r>
        <w:rPr>
          <w:rFonts w:hint="eastAsia" w:ascii="宋体" w:hAnsi="宋体" w:cs="仿宋"/>
          <w:sz w:val="24"/>
        </w:rPr>
        <w:t>20学年有21人享受国家助学金，已办理了资助卡，资金人均</w:t>
      </w:r>
      <w:r>
        <w:rPr>
          <w:rFonts w:ascii="宋体" w:hAnsi="宋体" w:cs="仿宋"/>
          <w:sz w:val="24"/>
        </w:rPr>
        <w:t>200</w:t>
      </w:r>
      <w:r>
        <w:rPr>
          <w:rFonts w:hint="eastAsia" w:ascii="宋体" w:hAnsi="宋体" w:cs="仿宋"/>
          <w:sz w:val="24"/>
        </w:rPr>
        <w:t>元，均已发放到学生账户）</w:t>
      </w:r>
      <w:r>
        <w:rPr>
          <w:rFonts w:hint="eastAsia" w:ascii="宋体" w:hAnsi="宋体"/>
          <w:color w:val="000000"/>
          <w:sz w:val="24"/>
          <w:szCs w:val="24"/>
        </w:rPr>
        <w:t>，另</w:t>
      </w:r>
      <w:r>
        <w:rPr>
          <w:rFonts w:ascii="宋体" w:hAnsi="宋体"/>
          <w:color w:val="000000"/>
          <w:sz w:val="24"/>
          <w:szCs w:val="24"/>
        </w:rPr>
        <w:t>2019</w:t>
      </w:r>
      <w:r>
        <w:rPr>
          <w:rFonts w:hint="eastAsia" w:ascii="宋体" w:hAnsi="宋体"/>
          <w:color w:val="000000"/>
          <w:sz w:val="24"/>
          <w:szCs w:val="24"/>
        </w:rPr>
        <w:t>年</w:t>
      </w:r>
      <w:r>
        <w:rPr>
          <w:rFonts w:ascii="宋体" w:hAnsi="宋体"/>
          <w:color w:val="000000"/>
          <w:sz w:val="24"/>
          <w:szCs w:val="24"/>
        </w:rPr>
        <w:t>2</w:t>
      </w:r>
      <w:r>
        <w:rPr>
          <w:rFonts w:hint="eastAsia" w:ascii="宋体" w:hAnsi="宋体"/>
          <w:color w:val="000000"/>
          <w:sz w:val="24"/>
          <w:szCs w:val="24"/>
        </w:rPr>
        <w:t>月慰问贫困生38人、</w:t>
      </w:r>
      <w:r>
        <w:rPr>
          <w:rFonts w:ascii="宋体" w:hAnsi="宋体"/>
          <w:color w:val="000000"/>
          <w:sz w:val="24"/>
          <w:szCs w:val="24"/>
        </w:rPr>
        <w:t>20</w:t>
      </w:r>
      <w:r>
        <w:rPr>
          <w:rFonts w:hint="eastAsia" w:ascii="宋体" w:hAnsi="宋体"/>
          <w:color w:val="000000"/>
          <w:sz w:val="24"/>
          <w:szCs w:val="24"/>
        </w:rPr>
        <w:t>20年</w:t>
      </w:r>
      <w:r>
        <w:rPr>
          <w:rFonts w:ascii="宋体" w:hAnsi="宋体"/>
          <w:color w:val="000000"/>
          <w:sz w:val="24"/>
          <w:szCs w:val="24"/>
        </w:rPr>
        <w:t>2</w:t>
      </w:r>
      <w:r>
        <w:rPr>
          <w:rFonts w:hint="eastAsia" w:ascii="宋体" w:hAnsi="宋体"/>
          <w:color w:val="000000"/>
          <w:sz w:val="24"/>
          <w:szCs w:val="24"/>
        </w:rPr>
        <w:t>月慰问贫困生38人（每人</w:t>
      </w:r>
      <w:r>
        <w:rPr>
          <w:rFonts w:ascii="宋体" w:hAnsi="宋体"/>
          <w:color w:val="000000"/>
          <w:sz w:val="24"/>
          <w:szCs w:val="24"/>
        </w:rPr>
        <w:t>200</w:t>
      </w:r>
      <w:r>
        <w:rPr>
          <w:rFonts w:hint="eastAsia" w:ascii="宋体" w:hAnsi="宋体"/>
          <w:color w:val="000000"/>
          <w:sz w:val="24"/>
          <w:szCs w:val="24"/>
        </w:rPr>
        <w:t>元，资金152</w:t>
      </w:r>
      <w:r>
        <w:rPr>
          <w:rFonts w:ascii="宋体" w:hAnsi="宋体"/>
          <w:color w:val="000000"/>
          <w:sz w:val="24"/>
          <w:szCs w:val="24"/>
        </w:rPr>
        <w:t>00</w:t>
      </w:r>
      <w:r>
        <w:rPr>
          <w:rFonts w:hint="eastAsia" w:ascii="宋体" w:hAnsi="宋体"/>
          <w:color w:val="000000"/>
          <w:sz w:val="24"/>
          <w:szCs w:val="24"/>
        </w:rPr>
        <w:t>元）；</w:t>
      </w:r>
      <w:r>
        <w:rPr>
          <w:rFonts w:ascii="宋体" w:hAnsi="宋体"/>
          <w:color w:val="000000"/>
          <w:sz w:val="24"/>
          <w:szCs w:val="24"/>
        </w:rPr>
        <w:t>201</w:t>
      </w:r>
      <w:r>
        <w:rPr>
          <w:rFonts w:hint="eastAsia" w:ascii="宋体" w:hAnsi="宋体"/>
          <w:color w:val="000000"/>
          <w:sz w:val="24"/>
          <w:szCs w:val="24"/>
        </w:rPr>
        <w:t>9</w:t>
      </w:r>
      <w:r>
        <w:rPr>
          <w:rFonts w:ascii="宋体" w:hAnsi="宋体"/>
          <w:color w:val="000000"/>
          <w:sz w:val="24"/>
          <w:szCs w:val="24"/>
        </w:rPr>
        <w:t>-20</w:t>
      </w:r>
      <w:r>
        <w:rPr>
          <w:rFonts w:hint="eastAsia" w:ascii="宋体" w:hAnsi="宋体"/>
          <w:color w:val="000000"/>
          <w:sz w:val="24"/>
          <w:szCs w:val="24"/>
        </w:rPr>
        <w:t>20学年</w:t>
      </w:r>
      <w:r>
        <w:rPr>
          <w:rFonts w:hint="eastAsia" w:ascii="宋体" w:hAnsi="宋体"/>
          <w:color w:val="000000"/>
          <w:sz w:val="24"/>
          <w:szCs w:val="24"/>
        </w:rPr>
        <w:tab/>
      </w:r>
      <w:r>
        <w:rPr>
          <w:rFonts w:hint="eastAsia" w:ascii="宋体" w:hAnsi="宋体"/>
          <w:color w:val="000000"/>
          <w:sz w:val="24"/>
          <w:szCs w:val="24"/>
        </w:rPr>
        <w:t>1人获国家奖学金，奖金6000元；共合计资助1032</w:t>
      </w:r>
      <w:r>
        <w:rPr>
          <w:rFonts w:ascii="宋体" w:hAnsi="宋体"/>
          <w:color w:val="000000"/>
          <w:sz w:val="24"/>
          <w:szCs w:val="24"/>
        </w:rPr>
        <w:t>00</w:t>
      </w:r>
      <w:r>
        <w:rPr>
          <w:rFonts w:hint="eastAsia" w:ascii="宋体" w:hAnsi="宋体"/>
          <w:color w:val="000000"/>
          <w:sz w:val="24"/>
          <w:szCs w:val="24"/>
        </w:rPr>
        <w:t>元。</w:t>
      </w:r>
    </w:p>
    <w:p/>
    <w:p>
      <w:pPr>
        <w:ind w:firstLine="413" w:firstLineChars="147"/>
      </w:pPr>
      <w:r>
        <w:rPr>
          <w:rFonts w:ascii="宋体" w:hAnsi="宋体"/>
          <w:b/>
          <w:color w:val="000000"/>
          <w:sz w:val="28"/>
          <w:szCs w:val="28"/>
        </w:rPr>
        <w:t>2.4</w:t>
      </w:r>
      <w:r>
        <w:rPr>
          <w:rFonts w:hint="eastAsia" w:ascii="宋体" w:hAnsi="宋体"/>
          <w:b/>
          <w:color w:val="000000"/>
          <w:sz w:val="28"/>
          <w:szCs w:val="28"/>
        </w:rPr>
        <w:t>就业质量</w:t>
      </w:r>
    </w:p>
    <w:p>
      <w:pPr>
        <w:widowControl/>
        <w:shd w:val="clear" w:color="auto" w:fill="FFFFFF"/>
        <w:snapToGrid w:val="0"/>
        <w:spacing w:line="400" w:lineRule="exact"/>
        <w:ind w:firstLine="480" w:firstLineChars="200"/>
        <w:rPr>
          <w:rFonts w:ascii="宋体"/>
          <w:sz w:val="24"/>
        </w:rPr>
      </w:pPr>
      <w:r>
        <w:rPr>
          <w:rFonts w:ascii="宋体" w:hAnsi="宋体"/>
          <w:sz w:val="24"/>
        </w:rPr>
        <w:t>201</w:t>
      </w:r>
      <w:r>
        <w:rPr>
          <w:rFonts w:hint="eastAsia" w:ascii="宋体" w:hAnsi="宋体"/>
          <w:sz w:val="24"/>
        </w:rPr>
        <w:t>9</w:t>
      </w:r>
      <w:r>
        <w:rPr>
          <w:rFonts w:ascii="宋体" w:hAnsi="宋体"/>
          <w:sz w:val="24"/>
        </w:rPr>
        <w:t>-20</w:t>
      </w:r>
      <w:r>
        <w:rPr>
          <w:rFonts w:hint="eastAsia" w:ascii="宋体" w:hAnsi="宋体"/>
          <w:sz w:val="24"/>
        </w:rPr>
        <w:t>20学年，学校各实习班级班主任通过走访企业、网络信息沟通、电话联系等方式，向企业与学生调查，收集相关信息数据等情况，并进行汇总统计。</w:t>
      </w:r>
    </w:p>
    <w:p>
      <w:pPr>
        <w:spacing w:beforeLines="50" w:afterLines="50" w:line="420" w:lineRule="exact"/>
        <w:jc w:val="center"/>
        <w:rPr>
          <w:rFonts w:ascii="宋体"/>
          <w:sz w:val="24"/>
        </w:rPr>
      </w:pPr>
      <w:r>
        <w:rPr>
          <w:rFonts w:hint="eastAsia" w:ascii="宋体" w:hAnsi="宋体"/>
          <w:sz w:val="24"/>
        </w:rPr>
        <w:t>表</w:t>
      </w:r>
      <w:r>
        <w:rPr>
          <w:rFonts w:ascii="宋体" w:hAnsi="宋体"/>
          <w:sz w:val="24"/>
        </w:rPr>
        <w:t>6</w:t>
      </w:r>
      <w:r>
        <w:rPr>
          <w:rFonts w:hint="eastAsia" w:ascii="宋体" w:hAnsi="宋体"/>
          <w:sz w:val="24"/>
        </w:rPr>
        <w:t>：就业质量四率表</w:t>
      </w:r>
    </w:p>
    <w:tbl>
      <w:tblPr>
        <w:tblStyle w:val="7"/>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482"/>
        <w:gridCol w:w="1630"/>
        <w:gridCol w:w="1482"/>
        <w:gridCol w:w="1514"/>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adjustRightInd w:val="0"/>
              <w:snapToGrid w:val="0"/>
              <w:jc w:val="center"/>
              <w:rPr>
                <w:kern w:val="0"/>
              </w:rPr>
            </w:pPr>
            <w:r>
              <w:rPr>
                <w:rFonts w:hint="eastAsia" w:ascii="宋体" w:hAnsi="宋体"/>
              </w:rPr>
              <w:t>年份</w:t>
            </w:r>
          </w:p>
        </w:tc>
        <w:tc>
          <w:tcPr>
            <w:tcW w:w="1482" w:type="dxa"/>
            <w:vAlign w:val="center"/>
          </w:tcPr>
          <w:p>
            <w:pPr>
              <w:adjustRightInd w:val="0"/>
              <w:snapToGrid w:val="0"/>
              <w:jc w:val="center"/>
              <w:rPr>
                <w:rFonts w:ascii="宋体"/>
              </w:rPr>
            </w:pPr>
            <w:r>
              <w:rPr>
                <w:rFonts w:hint="eastAsia" w:ascii="宋体" w:hAnsi="宋体"/>
              </w:rPr>
              <w:t>就业率</w:t>
            </w:r>
            <w:r>
              <w:rPr>
                <w:rFonts w:hint="eastAsia" w:ascii="宋体" w:hAnsi="宋体" w:cs="宋体"/>
              </w:rPr>
              <w:t>（</w:t>
            </w:r>
            <w:r>
              <w:rPr>
                <w:rFonts w:ascii="宋体" w:hAnsi="宋体" w:cs="宋体"/>
              </w:rPr>
              <w:t>%</w:t>
            </w:r>
            <w:r>
              <w:rPr>
                <w:rFonts w:hint="eastAsia" w:ascii="宋体" w:hAnsi="宋体" w:cs="宋体"/>
              </w:rPr>
              <w:t>）</w:t>
            </w:r>
          </w:p>
        </w:tc>
        <w:tc>
          <w:tcPr>
            <w:tcW w:w="1630" w:type="dxa"/>
            <w:vAlign w:val="center"/>
          </w:tcPr>
          <w:p>
            <w:pPr>
              <w:adjustRightInd w:val="0"/>
              <w:snapToGrid w:val="0"/>
              <w:jc w:val="center"/>
              <w:rPr>
                <w:rFonts w:ascii="宋体"/>
              </w:rPr>
            </w:pPr>
            <w:r>
              <w:rPr>
                <w:rFonts w:hint="eastAsia" w:ascii="宋体" w:hAnsi="宋体"/>
              </w:rPr>
              <w:t>升学率</w:t>
            </w:r>
            <w:r>
              <w:rPr>
                <w:rFonts w:hint="eastAsia" w:ascii="宋体" w:hAnsi="宋体" w:cs="宋体"/>
              </w:rPr>
              <w:t>（</w:t>
            </w:r>
            <w:r>
              <w:rPr>
                <w:rFonts w:ascii="宋体" w:hAnsi="宋体" w:cs="宋体"/>
              </w:rPr>
              <w:t>%</w:t>
            </w:r>
            <w:r>
              <w:rPr>
                <w:rFonts w:hint="eastAsia" w:ascii="宋体" w:hAnsi="宋体" w:cs="宋体"/>
              </w:rPr>
              <w:t>）</w:t>
            </w:r>
          </w:p>
        </w:tc>
        <w:tc>
          <w:tcPr>
            <w:tcW w:w="1482" w:type="dxa"/>
            <w:vAlign w:val="center"/>
          </w:tcPr>
          <w:p>
            <w:pPr>
              <w:adjustRightInd w:val="0"/>
              <w:snapToGrid w:val="0"/>
              <w:jc w:val="center"/>
              <w:rPr>
                <w:rFonts w:ascii="宋体"/>
              </w:rPr>
            </w:pPr>
            <w:r>
              <w:rPr>
                <w:rFonts w:hint="eastAsia" w:ascii="宋体" w:hAnsi="宋体"/>
              </w:rPr>
              <w:t>专业对</w:t>
            </w:r>
          </w:p>
          <w:p>
            <w:pPr>
              <w:adjustRightInd w:val="0"/>
              <w:snapToGrid w:val="0"/>
              <w:jc w:val="center"/>
              <w:rPr>
                <w:rFonts w:ascii="宋体"/>
              </w:rPr>
            </w:pPr>
            <w:r>
              <w:rPr>
                <w:rFonts w:hint="eastAsia" w:ascii="宋体" w:hAnsi="宋体"/>
              </w:rPr>
              <w:t>口率</w:t>
            </w:r>
            <w:r>
              <w:rPr>
                <w:rFonts w:hint="eastAsia" w:ascii="宋体" w:hAnsi="宋体" w:cs="宋体"/>
              </w:rPr>
              <w:t>（</w:t>
            </w:r>
            <w:r>
              <w:rPr>
                <w:rFonts w:ascii="宋体" w:hAnsi="宋体" w:cs="宋体"/>
              </w:rPr>
              <w:t>%</w:t>
            </w:r>
            <w:r>
              <w:rPr>
                <w:rFonts w:hint="eastAsia" w:ascii="宋体" w:hAnsi="宋体" w:cs="宋体"/>
              </w:rPr>
              <w:t>）</w:t>
            </w:r>
          </w:p>
        </w:tc>
        <w:tc>
          <w:tcPr>
            <w:tcW w:w="1514" w:type="dxa"/>
            <w:vAlign w:val="center"/>
          </w:tcPr>
          <w:p>
            <w:pPr>
              <w:adjustRightInd w:val="0"/>
              <w:snapToGrid w:val="0"/>
              <w:jc w:val="center"/>
              <w:rPr>
                <w:rFonts w:ascii="宋体"/>
              </w:rPr>
            </w:pPr>
            <w:r>
              <w:rPr>
                <w:rFonts w:hint="eastAsia" w:ascii="宋体" w:hAnsi="宋体"/>
              </w:rPr>
              <w:t>用人单位</w:t>
            </w:r>
          </w:p>
          <w:p>
            <w:pPr>
              <w:adjustRightInd w:val="0"/>
              <w:snapToGrid w:val="0"/>
              <w:jc w:val="center"/>
              <w:rPr>
                <w:rFonts w:ascii="宋体"/>
              </w:rPr>
            </w:pPr>
            <w:r>
              <w:rPr>
                <w:rFonts w:hint="eastAsia" w:ascii="宋体" w:hAnsi="宋体"/>
              </w:rPr>
              <w:t>满意度</w:t>
            </w:r>
            <w:r>
              <w:rPr>
                <w:rFonts w:hint="eastAsia" w:ascii="宋体" w:hAnsi="宋体" w:cs="宋体"/>
              </w:rPr>
              <w:t>（</w:t>
            </w:r>
            <w:r>
              <w:rPr>
                <w:rFonts w:ascii="宋体" w:hAnsi="宋体" w:cs="宋体"/>
              </w:rPr>
              <w:t>%</w:t>
            </w:r>
            <w:r>
              <w:rPr>
                <w:rFonts w:hint="eastAsia" w:ascii="宋体" w:hAnsi="宋体" w:cs="宋体"/>
              </w:rPr>
              <w:t>）</w:t>
            </w:r>
          </w:p>
        </w:tc>
        <w:tc>
          <w:tcPr>
            <w:tcW w:w="1392" w:type="dxa"/>
            <w:vAlign w:val="center"/>
          </w:tcPr>
          <w:p>
            <w:pPr>
              <w:adjustRightInd w:val="0"/>
              <w:snapToGrid w:val="0"/>
              <w:jc w:val="center"/>
              <w:rPr>
                <w:rFonts w:ascii="宋体"/>
              </w:rPr>
            </w:pPr>
            <w:r>
              <w:rPr>
                <w:rFonts w:hint="eastAsia" w:ascii="宋体" w:hAnsi="宋体"/>
              </w:rPr>
              <w:t>初次就业</w:t>
            </w:r>
          </w:p>
          <w:p>
            <w:pPr>
              <w:adjustRightInd w:val="0"/>
              <w:snapToGrid w:val="0"/>
              <w:jc w:val="center"/>
              <w:rPr>
                <w:rFonts w:ascii="宋体"/>
              </w:rPr>
            </w:pPr>
            <w:r>
              <w:rPr>
                <w:rFonts w:hint="eastAsia" w:ascii="宋体" w:hAnsi="宋体"/>
              </w:rPr>
              <w:t>起薪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adjustRightInd w:val="0"/>
              <w:snapToGrid w:val="0"/>
              <w:jc w:val="center"/>
              <w:rPr>
                <w:rFonts w:ascii="宋体"/>
              </w:rPr>
            </w:pPr>
            <w:r>
              <w:rPr>
                <w:rFonts w:ascii="宋体" w:hAnsi="宋体"/>
              </w:rPr>
              <w:t>201</w:t>
            </w:r>
            <w:r>
              <w:rPr>
                <w:rFonts w:hint="eastAsia" w:ascii="宋体" w:hAnsi="宋体"/>
              </w:rPr>
              <w:t>8</w:t>
            </w:r>
            <w:r>
              <w:rPr>
                <w:rFonts w:ascii="宋体" w:hAnsi="宋体"/>
              </w:rPr>
              <w:t>-201</w:t>
            </w:r>
            <w:r>
              <w:rPr>
                <w:rFonts w:hint="eastAsia" w:ascii="宋体" w:hAnsi="宋体"/>
              </w:rPr>
              <w:t>9学年</w:t>
            </w:r>
          </w:p>
        </w:tc>
        <w:tc>
          <w:tcPr>
            <w:tcW w:w="1482" w:type="dxa"/>
            <w:vAlign w:val="center"/>
          </w:tcPr>
          <w:p>
            <w:pPr>
              <w:adjustRightInd w:val="0"/>
              <w:snapToGrid w:val="0"/>
              <w:jc w:val="center"/>
              <w:rPr>
                <w:rFonts w:ascii="宋体" w:cs="宋体"/>
              </w:rPr>
            </w:pPr>
            <w:r>
              <w:rPr>
                <w:rFonts w:ascii="宋体" w:hAnsi="宋体" w:cs="宋体"/>
              </w:rPr>
              <w:t>8</w:t>
            </w:r>
            <w:r>
              <w:rPr>
                <w:rFonts w:hint="eastAsia" w:ascii="宋体" w:hAnsi="宋体" w:cs="宋体"/>
              </w:rPr>
              <w:t>9.60</w:t>
            </w:r>
            <w:r>
              <w:rPr>
                <w:rFonts w:ascii="宋体" w:hAnsi="宋体" w:cs="宋体"/>
              </w:rPr>
              <w:t>%</w:t>
            </w:r>
          </w:p>
        </w:tc>
        <w:tc>
          <w:tcPr>
            <w:tcW w:w="1630" w:type="dxa"/>
            <w:vAlign w:val="center"/>
          </w:tcPr>
          <w:p>
            <w:pPr>
              <w:adjustRightInd w:val="0"/>
              <w:snapToGrid w:val="0"/>
              <w:jc w:val="center"/>
              <w:rPr>
                <w:rFonts w:ascii="宋体" w:cs="宋体"/>
              </w:rPr>
            </w:pPr>
            <w:r>
              <w:rPr>
                <w:rFonts w:hint="eastAsia" w:ascii="宋体" w:cs="宋体"/>
              </w:rPr>
              <w:t>70</w:t>
            </w:r>
            <w:r>
              <w:rPr>
                <w:rFonts w:ascii="宋体" w:cs="宋体"/>
              </w:rPr>
              <w:t>%</w:t>
            </w:r>
          </w:p>
        </w:tc>
        <w:tc>
          <w:tcPr>
            <w:tcW w:w="1482" w:type="dxa"/>
            <w:vAlign w:val="center"/>
          </w:tcPr>
          <w:p>
            <w:pPr>
              <w:adjustRightInd w:val="0"/>
              <w:snapToGrid w:val="0"/>
              <w:jc w:val="center"/>
              <w:rPr>
                <w:rFonts w:ascii="宋体" w:cs="宋体"/>
              </w:rPr>
            </w:pPr>
            <w:r>
              <w:rPr>
                <w:rFonts w:hint="eastAsia" w:ascii="宋体" w:hAnsi="宋体" w:cs="宋体"/>
              </w:rPr>
              <w:t>15</w:t>
            </w:r>
            <w:r>
              <w:rPr>
                <w:rFonts w:ascii="宋体" w:hAnsi="宋体" w:cs="宋体"/>
              </w:rPr>
              <w:t>%</w:t>
            </w:r>
          </w:p>
        </w:tc>
        <w:tc>
          <w:tcPr>
            <w:tcW w:w="1514" w:type="dxa"/>
            <w:vAlign w:val="center"/>
          </w:tcPr>
          <w:p>
            <w:pPr>
              <w:adjustRightInd w:val="0"/>
              <w:snapToGrid w:val="0"/>
              <w:jc w:val="center"/>
              <w:rPr>
                <w:rFonts w:ascii="宋体" w:cs="宋体"/>
              </w:rPr>
            </w:pPr>
            <w:r>
              <w:rPr>
                <w:rFonts w:ascii="宋体" w:hAnsi="宋体" w:cs="宋体"/>
              </w:rPr>
              <w:t>9</w:t>
            </w:r>
            <w:r>
              <w:rPr>
                <w:rFonts w:hint="eastAsia" w:ascii="宋体" w:hAnsi="宋体" w:cs="宋体"/>
              </w:rPr>
              <w:t>6</w:t>
            </w:r>
            <w:r>
              <w:rPr>
                <w:rFonts w:ascii="宋体" w:hAnsi="宋体" w:cs="宋体"/>
              </w:rPr>
              <w:t>%</w:t>
            </w:r>
          </w:p>
        </w:tc>
        <w:tc>
          <w:tcPr>
            <w:tcW w:w="1392" w:type="dxa"/>
            <w:vAlign w:val="center"/>
          </w:tcPr>
          <w:p>
            <w:pPr>
              <w:adjustRightInd w:val="0"/>
              <w:snapToGrid w:val="0"/>
              <w:jc w:val="center"/>
              <w:rPr>
                <w:rFonts w:ascii="楷体" w:hAnsi="楷体" w:eastAsia="楷体"/>
                <w:kern w:val="0"/>
              </w:rPr>
            </w:pPr>
            <w:r>
              <w:rPr>
                <w:rFonts w:hint="eastAsia" w:ascii="宋体" w:hAnsi="宋体"/>
              </w:rPr>
              <w:t>20</w:t>
            </w:r>
            <w:r>
              <w:rPr>
                <w:rFonts w:ascii="宋体" w:hAnsi="宋体"/>
              </w:rPr>
              <w:t>00</w:t>
            </w:r>
            <w:r>
              <w:rPr>
                <w:rFonts w:hint="eastAsia" w:ascii="宋体" w:hAnsi="宋体"/>
              </w:rPr>
              <w:t>元</w:t>
            </w:r>
            <w:r>
              <w:rPr>
                <w:rFonts w:ascii="宋体" w:hAnsi="宋体"/>
              </w:rPr>
              <w:t>/</w:t>
            </w:r>
            <w:r>
              <w:rPr>
                <w:rFonts w:hint="eastAsia" w:ascii="宋体" w:hAnsi="宋体"/>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6" w:type="dxa"/>
            <w:vAlign w:val="center"/>
          </w:tcPr>
          <w:p>
            <w:pPr>
              <w:adjustRightInd w:val="0"/>
              <w:snapToGrid w:val="0"/>
              <w:jc w:val="center"/>
              <w:rPr>
                <w:rFonts w:ascii="宋体"/>
              </w:rPr>
            </w:pPr>
            <w:r>
              <w:rPr>
                <w:rFonts w:ascii="宋体" w:hAnsi="宋体"/>
              </w:rPr>
              <w:t>201</w:t>
            </w:r>
            <w:r>
              <w:rPr>
                <w:rFonts w:hint="eastAsia" w:ascii="宋体" w:hAnsi="宋体"/>
              </w:rPr>
              <w:t>9</w:t>
            </w:r>
            <w:r>
              <w:rPr>
                <w:rFonts w:ascii="宋体" w:hAnsi="宋体"/>
              </w:rPr>
              <w:t>-20</w:t>
            </w:r>
            <w:r>
              <w:rPr>
                <w:rFonts w:hint="eastAsia" w:ascii="宋体" w:hAnsi="宋体"/>
              </w:rPr>
              <w:t>20学年</w:t>
            </w:r>
          </w:p>
        </w:tc>
        <w:tc>
          <w:tcPr>
            <w:tcW w:w="1482" w:type="dxa"/>
            <w:vAlign w:val="center"/>
          </w:tcPr>
          <w:p>
            <w:pPr>
              <w:adjustRightInd w:val="0"/>
              <w:snapToGrid w:val="0"/>
              <w:jc w:val="center"/>
              <w:rPr>
                <w:rFonts w:ascii="宋体" w:cs="宋体"/>
              </w:rPr>
            </w:pPr>
            <w:r>
              <w:rPr>
                <w:rFonts w:hint="eastAsia" w:ascii="宋体" w:hAnsi="宋体" w:cs="宋体"/>
              </w:rPr>
              <w:t>98.50</w:t>
            </w:r>
            <w:r>
              <w:rPr>
                <w:rFonts w:ascii="宋体" w:hAnsi="宋体" w:cs="宋体"/>
              </w:rPr>
              <w:t>%</w:t>
            </w:r>
          </w:p>
        </w:tc>
        <w:tc>
          <w:tcPr>
            <w:tcW w:w="1630" w:type="dxa"/>
            <w:vAlign w:val="center"/>
          </w:tcPr>
          <w:p>
            <w:pPr>
              <w:adjustRightInd w:val="0"/>
              <w:snapToGrid w:val="0"/>
              <w:jc w:val="center"/>
              <w:rPr>
                <w:rFonts w:ascii="宋体" w:cs="宋体"/>
              </w:rPr>
            </w:pPr>
            <w:r>
              <w:rPr>
                <w:rFonts w:hint="eastAsia" w:ascii="宋体" w:cs="宋体"/>
              </w:rPr>
              <w:t>77.80</w:t>
            </w:r>
            <w:r>
              <w:rPr>
                <w:rFonts w:ascii="宋体" w:cs="宋体"/>
              </w:rPr>
              <w:t>%</w:t>
            </w:r>
          </w:p>
        </w:tc>
        <w:tc>
          <w:tcPr>
            <w:tcW w:w="1482" w:type="dxa"/>
            <w:vAlign w:val="center"/>
          </w:tcPr>
          <w:p>
            <w:pPr>
              <w:adjustRightInd w:val="0"/>
              <w:snapToGrid w:val="0"/>
              <w:jc w:val="center"/>
              <w:rPr>
                <w:rFonts w:ascii="宋体" w:cs="宋体"/>
              </w:rPr>
            </w:pPr>
            <w:r>
              <w:rPr>
                <w:rFonts w:hint="eastAsia" w:ascii="宋体" w:hAnsi="宋体" w:cs="宋体"/>
              </w:rPr>
              <w:t>17.60</w:t>
            </w:r>
            <w:r>
              <w:rPr>
                <w:rFonts w:ascii="宋体" w:hAnsi="宋体" w:cs="宋体"/>
              </w:rPr>
              <w:t>%</w:t>
            </w:r>
          </w:p>
        </w:tc>
        <w:tc>
          <w:tcPr>
            <w:tcW w:w="1514" w:type="dxa"/>
            <w:vAlign w:val="center"/>
          </w:tcPr>
          <w:p>
            <w:pPr>
              <w:adjustRightInd w:val="0"/>
              <w:snapToGrid w:val="0"/>
              <w:jc w:val="center"/>
              <w:rPr>
                <w:rFonts w:ascii="宋体" w:cs="宋体"/>
              </w:rPr>
            </w:pPr>
            <w:r>
              <w:rPr>
                <w:rFonts w:ascii="宋体" w:hAnsi="宋体" w:cs="宋体"/>
              </w:rPr>
              <w:t>9</w:t>
            </w:r>
            <w:r>
              <w:rPr>
                <w:rFonts w:hint="eastAsia" w:ascii="宋体" w:hAnsi="宋体" w:cs="宋体"/>
              </w:rPr>
              <w:t>6</w:t>
            </w:r>
            <w:r>
              <w:rPr>
                <w:rFonts w:ascii="宋体" w:hAnsi="宋体" w:cs="宋体"/>
              </w:rPr>
              <w:t>.5%</w:t>
            </w:r>
          </w:p>
        </w:tc>
        <w:tc>
          <w:tcPr>
            <w:tcW w:w="1392" w:type="dxa"/>
            <w:vAlign w:val="center"/>
          </w:tcPr>
          <w:p>
            <w:pPr>
              <w:adjustRightInd w:val="0"/>
              <w:snapToGrid w:val="0"/>
              <w:jc w:val="center"/>
              <w:rPr>
                <w:rFonts w:ascii="楷体" w:hAnsi="楷体" w:eastAsia="楷体"/>
                <w:kern w:val="0"/>
              </w:rPr>
            </w:pPr>
            <w:r>
              <w:rPr>
                <w:rFonts w:ascii="宋体" w:hAnsi="宋体"/>
              </w:rPr>
              <w:t>2</w:t>
            </w:r>
            <w:r>
              <w:rPr>
                <w:rFonts w:hint="eastAsia" w:ascii="宋体" w:hAnsi="宋体"/>
              </w:rPr>
              <w:t>5</w:t>
            </w:r>
            <w:r>
              <w:rPr>
                <w:rFonts w:ascii="宋体" w:hAnsi="宋体"/>
              </w:rPr>
              <w:t>00</w:t>
            </w:r>
            <w:r>
              <w:rPr>
                <w:rFonts w:hint="eastAsia" w:ascii="宋体" w:hAnsi="宋体"/>
              </w:rPr>
              <w:t>元</w:t>
            </w:r>
            <w:r>
              <w:rPr>
                <w:rFonts w:ascii="宋体" w:hAnsi="宋体"/>
              </w:rPr>
              <w:t>/</w:t>
            </w:r>
            <w:r>
              <w:rPr>
                <w:rFonts w:hint="eastAsia" w:ascii="宋体" w:hAnsi="宋体"/>
              </w:rPr>
              <w:t>月</w:t>
            </w:r>
          </w:p>
        </w:tc>
      </w:tr>
    </w:tbl>
    <w:p>
      <w:pPr>
        <w:spacing w:beforeLines="50" w:afterLines="50" w:line="420" w:lineRule="exact"/>
        <w:ind w:firstLine="630" w:firstLineChars="300"/>
        <w:rPr>
          <w:rFonts w:ascii="仿宋_GB2312" w:hAnsi="仿宋" w:eastAsia="仿宋_GB2312"/>
          <w:sz w:val="30"/>
          <w:szCs w:val="30"/>
        </w:rPr>
      </w:pPr>
      <w:r>
        <w:rPr>
          <w:rFonts w:hint="eastAsia" w:ascii="宋体"/>
        </w:rPr>
        <w:t>表</w:t>
      </w:r>
      <w:r>
        <w:rPr>
          <w:rFonts w:ascii="宋体"/>
        </w:rPr>
        <w:t>6</w:t>
      </w:r>
      <w:r>
        <w:rPr>
          <w:rFonts w:hint="eastAsia" w:ascii="宋体"/>
        </w:rPr>
        <w:t>数据来源：学校招就办统计提供</w:t>
      </w:r>
    </w:p>
    <w:p>
      <w:pPr>
        <w:spacing w:beforeLines="50" w:afterLines="50" w:line="420" w:lineRule="exact"/>
        <w:ind w:firstLine="422" w:firstLineChars="150"/>
        <w:rPr>
          <w:rFonts w:ascii="宋体"/>
          <w:b/>
          <w:sz w:val="28"/>
          <w:szCs w:val="28"/>
        </w:rPr>
      </w:pPr>
    </w:p>
    <w:p>
      <w:pPr>
        <w:spacing w:beforeLines="50" w:afterLines="50" w:line="420" w:lineRule="exact"/>
        <w:ind w:firstLine="422" w:firstLineChars="150"/>
        <w:rPr>
          <w:rFonts w:ascii="宋体"/>
          <w:b/>
          <w:sz w:val="28"/>
          <w:szCs w:val="28"/>
        </w:rPr>
      </w:pPr>
      <w:r>
        <w:rPr>
          <w:rFonts w:ascii="宋体" w:hAnsi="宋体"/>
          <w:b/>
          <w:sz w:val="28"/>
          <w:szCs w:val="28"/>
        </w:rPr>
        <w:t>2.5</w:t>
      </w:r>
      <w:r>
        <w:rPr>
          <w:rFonts w:hint="eastAsia" w:ascii="宋体" w:hAnsi="宋体"/>
          <w:b/>
          <w:sz w:val="28"/>
          <w:szCs w:val="28"/>
        </w:rPr>
        <w:t>职业发展</w:t>
      </w:r>
    </w:p>
    <w:p>
      <w:pPr>
        <w:widowControl/>
        <w:shd w:val="clear" w:color="auto" w:fill="FFFFFF"/>
        <w:snapToGrid w:val="0"/>
        <w:spacing w:line="400" w:lineRule="exact"/>
        <w:ind w:firstLine="450"/>
        <w:rPr>
          <w:rFonts w:hint="eastAsia" w:ascii="宋体" w:hAnsi="宋体" w:cs="宋体"/>
          <w:kern w:val="0"/>
          <w:sz w:val="24"/>
          <w:szCs w:val="24"/>
        </w:rPr>
      </w:pPr>
      <w:r>
        <w:rPr>
          <w:rFonts w:hint="eastAsia" w:ascii="宋体" w:hAnsi="宋体"/>
          <w:sz w:val="24"/>
          <w:szCs w:val="24"/>
        </w:rPr>
        <w:t>加强校企深度合作提高学生实战能力，在企业实践中找准自己的职业发展方向。因此，学校努力与企业建立良好的合作关系至关重要，以保证学生实践的可能性与通畅性。除了2017级</w:t>
      </w:r>
      <w:r>
        <w:rPr>
          <w:rFonts w:hint="eastAsia" w:ascii="宋体" w:hAnsi="宋体"/>
          <w:sz w:val="24"/>
        </w:rPr>
        <w:t>民族工艺品制作（民族陶艺）专业</w:t>
      </w:r>
      <w:r>
        <w:rPr>
          <w:rFonts w:hint="eastAsia" w:ascii="宋体" w:hAnsi="宋体"/>
          <w:sz w:val="24"/>
          <w:szCs w:val="24"/>
        </w:rPr>
        <w:t>继续与</w:t>
      </w:r>
      <w:r>
        <w:rPr>
          <w:rFonts w:hint="eastAsia" w:ascii="宋体" w:cs="宋体"/>
          <w:kern w:val="0"/>
          <w:sz w:val="24"/>
          <w:szCs w:val="24"/>
        </w:rPr>
        <w:t>福建索佳艺陶瓷有限公司合作进行现代学徒制试点工作</w:t>
      </w:r>
      <w:r>
        <w:rPr>
          <w:rFonts w:hint="eastAsia" w:ascii="宋体" w:hAnsi="宋体"/>
          <w:sz w:val="24"/>
          <w:szCs w:val="24"/>
        </w:rPr>
        <w:t>；</w:t>
      </w:r>
      <w:r>
        <w:rPr>
          <w:rFonts w:ascii="宋体" w:hAnsi="宋体" w:cs="宋体"/>
          <w:kern w:val="0"/>
          <w:sz w:val="24"/>
          <w:szCs w:val="24"/>
        </w:rPr>
        <w:t>2018</w:t>
      </w:r>
      <w:r>
        <w:rPr>
          <w:rFonts w:hint="eastAsia" w:ascii="宋体" w:hAnsi="宋体" w:cs="宋体"/>
          <w:kern w:val="0"/>
          <w:sz w:val="24"/>
          <w:szCs w:val="24"/>
        </w:rPr>
        <w:t>级工艺美术（装潢设计与制作）班</w:t>
      </w:r>
      <w:r>
        <w:rPr>
          <w:rFonts w:ascii="宋体" w:hAnsi="宋体" w:cs="宋体"/>
          <w:kern w:val="0"/>
          <w:sz w:val="24"/>
          <w:szCs w:val="24"/>
        </w:rPr>
        <w:t>20</w:t>
      </w:r>
      <w:r>
        <w:rPr>
          <w:rFonts w:hint="eastAsia" w:ascii="宋体" w:hAnsi="宋体" w:cs="宋体"/>
          <w:kern w:val="0"/>
          <w:sz w:val="24"/>
          <w:szCs w:val="24"/>
        </w:rPr>
        <w:t>位学生</w:t>
      </w:r>
      <w:r>
        <w:rPr>
          <w:rFonts w:hint="eastAsia" w:ascii="宋体" w:hAnsi="宋体"/>
          <w:sz w:val="24"/>
          <w:szCs w:val="24"/>
        </w:rPr>
        <w:t>正参加市级现代学徒制项目培育建设工作</w:t>
      </w:r>
      <w:r>
        <w:rPr>
          <w:rFonts w:hint="eastAsia" w:ascii="宋体" w:hAnsi="宋体" w:cs="宋体"/>
          <w:kern w:val="0"/>
          <w:sz w:val="24"/>
          <w:szCs w:val="24"/>
        </w:rPr>
        <w:t>（与福州美源工艺品有限公司第三批现代学徒制人才培养试点班）。</w:t>
      </w:r>
    </w:p>
    <w:p>
      <w:pPr>
        <w:widowControl/>
        <w:shd w:val="clear" w:color="auto" w:fill="FFFFFF"/>
        <w:snapToGrid w:val="0"/>
        <w:spacing w:line="400" w:lineRule="exact"/>
        <w:ind w:firstLine="450"/>
        <w:rPr>
          <w:rFonts w:ascii="宋体"/>
          <w:sz w:val="24"/>
          <w:szCs w:val="24"/>
        </w:rPr>
      </w:pPr>
      <w:r>
        <w:rPr>
          <w:rFonts w:hint="eastAsia" w:ascii="宋体" w:hAnsi="宋体"/>
          <w:sz w:val="24"/>
          <w:szCs w:val="24"/>
        </w:rPr>
        <w:t>现在经济社会迅速发展，职业教育的作用、地位、培养目标等都发生了很大变化。中职学校培养的是一线高素质劳动者、中初级专门技能型人才，以服务为宗旨就是要为社会和经济发展服务，尤其是为高新区对方产业服务；以就业为导向就是在办学方向上要面向社会、市场、企业，从传统的学科理论和技能培养向职业岗位能力培养转变，在培养模式上与生产实际相结合，着力培养学生的就业创业能力，促进职业教育与生产实践、社会服务的紧密结合。</w:t>
      </w:r>
      <w:r>
        <w:rPr>
          <w:rFonts w:ascii="宋体"/>
          <w:sz w:val="24"/>
          <w:szCs w:val="24"/>
        </w:rPr>
        <w:t xml:space="preserve"> </w:t>
      </w:r>
      <w:r>
        <w:rPr>
          <w:rFonts w:hint="eastAsia" w:ascii="宋体" w:hAnsi="宋体"/>
          <w:sz w:val="24"/>
          <w:szCs w:val="24"/>
        </w:rPr>
        <w:t>另外，美术专业是学校主打专业，在分析岗位能力需求的基础上，调整本系列专业培养目标，针对美术设计与制作行业的不同职业岗位需求制订人才培养方案，通过联办企业福州美源工艺品有限公司、</w:t>
      </w:r>
      <w:r>
        <w:rPr>
          <w:rFonts w:hint="eastAsia" w:ascii="宋体" w:cs="宋体"/>
          <w:kern w:val="0"/>
          <w:sz w:val="24"/>
          <w:szCs w:val="24"/>
        </w:rPr>
        <w:t>福建索佳艺陶瓷有限公司</w:t>
      </w:r>
      <w:r>
        <w:rPr>
          <w:rFonts w:hint="eastAsia" w:ascii="宋体" w:hAnsi="宋体"/>
          <w:sz w:val="24"/>
          <w:szCs w:val="24"/>
        </w:rPr>
        <w:t>等建立“艺术设计工作坊”的实岗育人模式，形成由学校与企业共同进行顶层设计、专业组具体负责实施、学校和企业紧密合作的人才培养模式。</w:t>
      </w:r>
    </w:p>
    <w:p>
      <w:pPr>
        <w:widowControl/>
        <w:shd w:val="clear" w:color="auto" w:fill="FFFFFF"/>
        <w:snapToGrid w:val="0"/>
        <w:spacing w:line="400" w:lineRule="exact"/>
        <w:ind w:firstLine="450"/>
        <w:rPr>
          <w:rFonts w:ascii="宋体"/>
          <w:sz w:val="24"/>
          <w:szCs w:val="24"/>
        </w:rPr>
      </w:pPr>
      <w:r>
        <w:rPr>
          <w:rFonts w:hint="eastAsia" w:ascii="宋体" w:hAnsi="宋体"/>
          <w:sz w:val="24"/>
          <w:szCs w:val="24"/>
        </w:rPr>
        <w:t>不久，学校将搬新校区，因此如何促进学校职业教育的发展正在探讨与研究中。</w:t>
      </w:r>
    </w:p>
    <w:p>
      <w:pPr>
        <w:widowControl/>
        <w:shd w:val="clear" w:color="auto" w:fill="FFFFFF"/>
        <w:snapToGrid w:val="0"/>
        <w:spacing w:line="400" w:lineRule="exact"/>
        <w:jc w:val="left"/>
        <w:rPr>
          <w:rFonts w:ascii="宋体"/>
          <w:sz w:val="24"/>
        </w:rPr>
      </w:pPr>
    </w:p>
    <w:p>
      <w:pPr>
        <w:spacing w:line="400" w:lineRule="exact"/>
        <w:ind w:firstLine="413" w:firstLineChars="147"/>
        <w:rPr>
          <w:rFonts w:ascii="宋体"/>
          <w:b/>
          <w:sz w:val="28"/>
          <w:szCs w:val="28"/>
        </w:rPr>
      </w:pPr>
      <w:r>
        <w:rPr>
          <w:rFonts w:ascii="宋体" w:hAnsi="宋体"/>
          <w:b/>
          <w:sz w:val="28"/>
          <w:szCs w:val="28"/>
        </w:rPr>
        <w:t>3.</w:t>
      </w:r>
      <w:r>
        <w:rPr>
          <w:rFonts w:hint="eastAsia" w:ascii="宋体" w:hAnsi="宋体"/>
          <w:b/>
          <w:sz w:val="28"/>
          <w:szCs w:val="28"/>
        </w:rPr>
        <w:t>质量保障措施</w:t>
      </w:r>
    </w:p>
    <w:p>
      <w:pPr>
        <w:ind w:firstLine="413" w:firstLineChars="147"/>
        <w:rPr>
          <w:rFonts w:ascii="宋体"/>
          <w:b/>
          <w:sz w:val="28"/>
          <w:szCs w:val="28"/>
        </w:rPr>
      </w:pPr>
      <w:r>
        <w:rPr>
          <w:rFonts w:ascii="宋体" w:hAnsi="宋体"/>
          <w:b/>
          <w:sz w:val="28"/>
          <w:szCs w:val="28"/>
        </w:rPr>
        <w:t>3.1</w:t>
      </w:r>
      <w:r>
        <w:rPr>
          <w:rFonts w:hint="eastAsia" w:ascii="宋体" w:hAnsi="宋体"/>
          <w:b/>
          <w:sz w:val="28"/>
          <w:szCs w:val="28"/>
        </w:rPr>
        <w:t>专业动态调整</w:t>
      </w:r>
    </w:p>
    <w:p>
      <w:pPr>
        <w:spacing w:line="400" w:lineRule="exact"/>
        <w:ind w:firstLine="480" w:firstLineChars="200"/>
        <w:rPr>
          <w:rFonts w:hint="eastAsia" w:ascii="宋体" w:hAnsi="宋体"/>
          <w:sz w:val="24"/>
          <w:szCs w:val="24"/>
        </w:rPr>
      </w:pPr>
      <w:r>
        <w:rPr>
          <w:rFonts w:hint="eastAsia" w:ascii="宋体" w:hAnsi="宋体"/>
          <w:sz w:val="24"/>
          <w:szCs w:val="24"/>
        </w:rPr>
        <w:t>学校根据福州高新区区域内的产业升级提升专业，使未来几年的新设专业设置与高新区区域内产业相对接。学校成立了由校长任组长、分管教学副校长任副组长、相关处室负责人和专业组长、专业带头人、专业建设指导委员会主要专家为成员的专业建设领导小组。领导小组制订了详细的工作计划和制度，坚持每学期初对专业建设工作进行一次专题研究，每月进行一次督查，期末进行全面检查、评估和总结，明确人才培养目标，不断调整专业人才培养规格，初步建立了适应区域产业结构调整的专业动态调整机制。</w:t>
      </w:r>
    </w:p>
    <w:p>
      <w:pPr>
        <w:spacing w:line="400" w:lineRule="exact"/>
        <w:ind w:firstLine="480" w:firstLineChars="200"/>
        <w:rPr>
          <w:rFonts w:ascii="宋体"/>
          <w:sz w:val="24"/>
          <w:szCs w:val="24"/>
        </w:rPr>
      </w:pPr>
      <w:r>
        <w:rPr>
          <w:rFonts w:hint="eastAsia" w:ascii="宋体" w:hAnsi="宋体"/>
          <w:sz w:val="24"/>
          <w:szCs w:val="24"/>
        </w:rPr>
        <w:t>2019年12月学校的美术专业群、学前教育（保育员）还成立了以行业企业专家和职业教育专家为主体的专业建设指导委员会。</w:t>
      </w:r>
    </w:p>
    <w:p>
      <w:pPr>
        <w:spacing w:line="400" w:lineRule="exact"/>
        <w:ind w:firstLine="413" w:firstLineChars="147"/>
        <w:rPr>
          <w:rFonts w:ascii="宋体"/>
          <w:b/>
          <w:sz w:val="28"/>
          <w:szCs w:val="28"/>
        </w:rPr>
      </w:pPr>
    </w:p>
    <w:p>
      <w:pPr>
        <w:spacing w:line="400" w:lineRule="exact"/>
        <w:ind w:firstLine="413" w:firstLineChars="147"/>
        <w:rPr>
          <w:rFonts w:ascii="宋体"/>
          <w:b/>
          <w:sz w:val="28"/>
          <w:szCs w:val="28"/>
        </w:rPr>
      </w:pPr>
      <w:r>
        <w:rPr>
          <w:rFonts w:ascii="宋体" w:hAnsi="宋体"/>
          <w:b/>
          <w:sz w:val="28"/>
          <w:szCs w:val="28"/>
        </w:rPr>
        <w:t>3.2</w:t>
      </w:r>
      <w:r>
        <w:rPr>
          <w:rFonts w:hint="eastAsia" w:ascii="宋体" w:hAnsi="宋体"/>
          <w:b/>
          <w:sz w:val="28"/>
          <w:szCs w:val="28"/>
        </w:rPr>
        <w:t>教育教学改革</w:t>
      </w:r>
    </w:p>
    <w:p>
      <w:pPr>
        <w:spacing w:line="400" w:lineRule="exact"/>
        <w:ind w:firstLine="413" w:firstLineChars="147"/>
        <w:rPr>
          <w:rFonts w:ascii="宋体"/>
          <w:b/>
          <w:sz w:val="28"/>
          <w:szCs w:val="28"/>
        </w:rPr>
      </w:pPr>
    </w:p>
    <w:p>
      <w:pPr>
        <w:spacing w:line="400" w:lineRule="exact"/>
        <w:ind w:firstLine="480" w:firstLineChars="200"/>
        <w:rPr>
          <w:rFonts w:hint="eastAsia" w:ascii="宋体" w:hAnsi="宋体" w:cs="仿宋"/>
          <w:sz w:val="24"/>
          <w:szCs w:val="24"/>
        </w:rPr>
      </w:pPr>
      <w:r>
        <w:rPr>
          <w:rFonts w:hint="eastAsia" w:ascii="宋体" w:hAnsi="宋体"/>
          <w:sz w:val="24"/>
          <w:szCs w:val="24"/>
        </w:rPr>
        <w:t>学校职业教育始终坚持以习近平同志关于职业教育系列重要讲话和全国职业教育工作会议精神为指导，认真贯彻执行上级教育部门推进中等职业学校教育分类施教全面提高教学质量的工作要求，</w:t>
      </w:r>
      <w:r>
        <w:rPr>
          <w:rFonts w:hint="eastAsia" w:ascii="宋体" w:hAnsi="宋体" w:cs="仿宋"/>
          <w:sz w:val="24"/>
          <w:szCs w:val="24"/>
        </w:rPr>
        <w:t>深入领会教育部新近颁布的中等职业学校</w:t>
      </w:r>
      <w:r>
        <w:rPr>
          <w:rFonts w:ascii="宋体" w:hAnsi="宋体" w:cs="仿宋"/>
          <w:sz w:val="24"/>
          <w:szCs w:val="24"/>
        </w:rPr>
        <w:t>10</w:t>
      </w:r>
      <w:r>
        <w:rPr>
          <w:rFonts w:hint="eastAsia" w:ascii="宋体" w:hAnsi="宋体" w:cs="仿宋"/>
          <w:sz w:val="24"/>
          <w:szCs w:val="24"/>
        </w:rPr>
        <w:t>门公共基础课程新课标中对学科核心素养和学业质量水平的要求。</w:t>
      </w:r>
    </w:p>
    <w:p>
      <w:pPr>
        <w:spacing w:line="400" w:lineRule="exact"/>
        <w:ind w:firstLine="480" w:firstLineChars="200"/>
        <w:rPr>
          <w:rFonts w:ascii="宋体"/>
          <w:sz w:val="24"/>
          <w:szCs w:val="24"/>
        </w:rPr>
      </w:pPr>
      <w:r>
        <w:rPr>
          <w:rFonts w:hint="eastAsia" w:ascii="宋体" w:hAnsi="宋体" w:cs="仿宋"/>
          <w:sz w:val="24"/>
          <w:szCs w:val="24"/>
        </w:rPr>
        <w:t>具体</w:t>
      </w:r>
      <w:r>
        <w:rPr>
          <w:rFonts w:hint="eastAsia" w:ascii="宋体" w:hAnsi="宋体"/>
          <w:sz w:val="24"/>
          <w:szCs w:val="24"/>
        </w:rPr>
        <w:t>人才培养模式改革目标：</w:t>
      </w:r>
    </w:p>
    <w:p>
      <w:pPr>
        <w:spacing w:line="400" w:lineRule="exact"/>
        <w:ind w:firstLine="480" w:firstLineChars="200"/>
        <w:rPr>
          <w:rFonts w:ascii="宋体"/>
          <w:sz w:val="24"/>
          <w:szCs w:val="24"/>
        </w:rPr>
      </w:pPr>
      <w:r>
        <w:rPr>
          <w:rFonts w:ascii="宋体" w:hAnsi="宋体"/>
          <w:sz w:val="24"/>
          <w:szCs w:val="24"/>
        </w:rPr>
        <w:t>1</w:t>
      </w:r>
      <w:r>
        <w:rPr>
          <w:rFonts w:hint="eastAsia" w:ascii="宋体" w:hAnsi="宋体"/>
          <w:sz w:val="24"/>
          <w:szCs w:val="24"/>
        </w:rPr>
        <w:t>．以培养适应生产一线需要的高等技术应用性和实用性人才为根本任务；</w:t>
      </w:r>
    </w:p>
    <w:p>
      <w:pPr>
        <w:spacing w:line="400" w:lineRule="exact"/>
        <w:ind w:firstLine="480" w:firstLineChars="200"/>
        <w:rPr>
          <w:rFonts w:ascii="宋体"/>
          <w:sz w:val="24"/>
          <w:szCs w:val="24"/>
        </w:rPr>
      </w:pPr>
      <w:r>
        <w:rPr>
          <w:rFonts w:ascii="宋体" w:hAnsi="宋体"/>
          <w:sz w:val="24"/>
          <w:szCs w:val="24"/>
        </w:rPr>
        <w:t>2</w:t>
      </w:r>
      <w:r>
        <w:rPr>
          <w:rFonts w:hint="eastAsia" w:ascii="宋体" w:hAnsi="宋体"/>
          <w:sz w:val="24"/>
          <w:szCs w:val="24"/>
        </w:rPr>
        <w:t>．以企业的实际需求为目标，以技术应用能力的培养为主线设计教学体系、制定培养方案。</w:t>
      </w:r>
      <w:r>
        <w:rPr>
          <w:rFonts w:ascii="宋体"/>
          <w:sz w:val="24"/>
          <w:szCs w:val="24"/>
        </w:rPr>
        <w:t> </w:t>
      </w:r>
    </w:p>
    <w:p>
      <w:pPr>
        <w:spacing w:line="40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．以“应用”为主旨和特征构建课程和教学内容体系，基础理论教学以应用为目的，以“必需、够用”为度，改善课程体系，专业课教学加强针对性和实用性。</w:t>
      </w:r>
      <w:r>
        <w:rPr>
          <w:rFonts w:ascii="宋体"/>
          <w:sz w:val="24"/>
          <w:szCs w:val="24"/>
        </w:rPr>
        <w:t> </w:t>
      </w:r>
    </w:p>
    <w:p>
      <w:pPr>
        <w:spacing w:line="40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．以培养学生的技术应用能力为目标构建相对独立的实践教学体系，加大实践教学学时在计划总学时中的比例。</w:t>
      </w:r>
      <w:r>
        <w:rPr>
          <w:rFonts w:ascii="宋体"/>
          <w:sz w:val="24"/>
          <w:szCs w:val="24"/>
        </w:rPr>
        <w:t> </w:t>
      </w:r>
    </w:p>
    <w:p>
      <w:pPr>
        <w:spacing w:line="400" w:lineRule="exact"/>
        <w:ind w:firstLine="480" w:firstLineChars="200"/>
        <w:rPr>
          <w:rFonts w:ascii="宋体"/>
          <w:sz w:val="24"/>
          <w:szCs w:val="24"/>
        </w:rPr>
      </w:pPr>
      <w:r>
        <w:rPr>
          <w:rFonts w:ascii="宋体" w:hAnsi="宋体"/>
          <w:sz w:val="24"/>
          <w:szCs w:val="24"/>
        </w:rPr>
        <w:t>5</w:t>
      </w:r>
      <w:r>
        <w:rPr>
          <w:rFonts w:hint="eastAsia" w:ascii="宋体" w:hAnsi="宋体"/>
          <w:sz w:val="24"/>
          <w:szCs w:val="24"/>
        </w:rPr>
        <w:t>．以改善教师的知识结构，提高教师的职称层次、学历层次和技术应用水平和实践能力为目标，以“走出去，请进来”为途径，努力塑造“双师型及专、兼职相结合的师资队伍”。</w:t>
      </w:r>
      <w:r>
        <w:rPr>
          <w:rFonts w:ascii="宋体"/>
          <w:sz w:val="24"/>
          <w:szCs w:val="24"/>
        </w:rPr>
        <w:t> </w:t>
      </w:r>
    </w:p>
    <w:p>
      <w:pPr>
        <w:spacing w:line="400" w:lineRule="exact"/>
        <w:ind w:firstLine="480" w:firstLineChars="200"/>
        <w:rPr>
          <w:rFonts w:ascii="宋体"/>
          <w:sz w:val="24"/>
          <w:szCs w:val="24"/>
        </w:rPr>
      </w:pPr>
      <w:r>
        <w:rPr>
          <w:rFonts w:ascii="宋体" w:hAnsi="宋体"/>
          <w:sz w:val="24"/>
          <w:szCs w:val="24"/>
        </w:rPr>
        <w:t>6</w:t>
      </w:r>
      <w:r>
        <w:rPr>
          <w:rFonts w:hint="eastAsia" w:ascii="宋体" w:hAnsi="宋体"/>
          <w:sz w:val="24"/>
          <w:szCs w:val="24"/>
        </w:rPr>
        <w:t>．以企业各岗位实际需要的“知识点、能力点”为基础，不断更新教学法内容，优化教案，将优秀教案印成讲义，将优秀讲义印成教材，加强适合本专业特点，起点较高，示范性较强的专业教材建设。</w:t>
      </w:r>
      <w:r>
        <w:rPr>
          <w:rFonts w:ascii="宋体"/>
          <w:sz w:val="24"/>
          <w:szCs w:val="24"/>
        </w:rPr>
        <w:t> </w:t>
      </w:r>
    </w:p>
    <w:p>
      <w:pPr>
        <w:spacing w:line="400" w:lineRule="exact"/>
        <w:ind w:firstLine="480" w:firstLineChars="200"/>
        <w:rPr>
          <w:rFonts w:ascii="宋体"/>
          <w:sz w:val="24"/>
          <w:szCs w:val="24"/>
        </w:rPr>
      </w:pPr>
      <w:r>
        <w:rPr>
          <w:rFonts w:ascii="宋体" w:hAnsi="宋体"/>
          <w:sz w:val="24"/>
          <w:szCs w:val="24"/>
        </w:rPr>
        <w:t>7</w:t>
      </w:r>
      <w:r>
        <w:rPr>
          <w:rFonts w:hint="eastAsia" w:ascii="宋体" w:hAnsi="宋体"/>
          <w:sz w:val="24"/>
          <w:szCs w:val="24"/>
        </w:rPr>
        <w:t>．加强校内外专业实训室建设，一年来继续与省内</w:t>
      </w:r>
      <w:r>
        <w:rPr>
          <w:rFonts w:ascii="宋体" w:hAnsi="宋体"/>
          <w:sz w:val="24"/>
          <w:szCs w:val="24"/>
        </w:rPr>
        <w:t>9</w:t>
      </w:r>
      <w:r>
        <w:rPr>
          <w:rFonts w:hint="eastAsia" w:ascii="宋体" w:hAnsi="宋体"/>
          <w:sz w:val="24"/>
          <w:szCs w:val="24"/>
        </w:rPr>
        <w:t>家企业再一次签订了合作协议，建立稳定的校外实习基地，积极探索校企合作，共同培养应用性人才的新路子。</w:t>
      </w:r>
      <w:r>
        <w:rPr>
          <w:rFonts w:ascii="宋体"/>
          <w:sz w:val="24"/>
          <w:szCs w:val="24"/>
        </w:rPr>
        <w:t> </w:t>
      </w:r>
    </w:p>
    <w:p>
      <w:pPr>
        <w:spacing w:line="400" w:lineRule="exact"/>
        <w:ind w:firstLine="480" w:firstLineChars="200"/>
        <w:rPr>
          <w:rFonts w:hint="eastAsia" w:ascii="宋体" w:hAnsi="宋体"/>
          <w:sz w:val="24"/>
          <w:szCs w:val="24"/>
        </w:rPr>
      </w:pPr>
      <w:r>
        <w:rPr>
          <w:rFonts w:hint="eastAsia" w:ascii="宋体" w:hAnsi="宋体"/>
          <w:sz w:val="24"/>
          <w:szCs w:val="24"/>
        </w:rPr>
        <w:t>因受疫情的影响，具体实施展开，期望2020年下半年具体实践</w:t>
      </w:r>
    </w:p>
    <w:p>
      <w:pPr>
        <w:spacing w:line="400" w:lineRule="exact"/>
        <w:ind w:firstLine="480" w:firstLineChars="200"/>
        <w:rPr>
          <w:rFonts w:ascii="宋体"/>
          <w:sz w:val="24"/>
          <w:szCs w:val="24"/>
        </w:rPr>
      </w:pPr>
      <w:r>
        <w:rPr>
          <w:rFonts w:hint="eastAsia" w:ascii="宋体" w:hAnsi="宋体"/>
          <w:sz w:val="24"/>
          <w:szCs w:val="24"/>
        </w:rPr>
        <w:t>另为了保证每个学生都有更多的校内实训和校外实践机会，保证专业课程所需的实训设备够用和先进性，</w:t>
      </w:r>
      <w:r>
        <w:rPr>
          <w:rFonts w:ascii="宋体" w:hAnsi="宋体"/>
          <w:sz w:val="24"/>
          <w:szCs w:val="24"/>
        </w:rPr>
        <w:t>201</w:t>
      </w:r>
      <w:r>
        <w:rPr>
          <w:rFonts w:hint="eastAsia" w:ascii="宋体" w:hAnsi="宋体"/>
          <w:sz w:val="24"/>
          <w:szCs w:val="24"/>
        </w:rPr>
        <w:t>9</w:t>
      </w:r>
      <w:r>
        <w:rPr>
          <w:rFonts w:ascii="宋体" w:hAnsi="宋体"/>
          <w:sz w:val="24"/>
          <w:szCs w:val="24"/>
        </w:rPr>
        <w:t>-20</w:t>
      </w:r>
      <w:r>
        <w:rPr>
          <w:rFonts w:hint="eastAsia" w:ascii="宋体" w:hAnsi="宋体"/>
          <w:sz w:val="24"/>
          <w:szCs w:val="24"/>
        </w:rPr>
        <w:t>20学年学校投入一定的资金，给校内专业画室和陶艺实训室增添了部分实训设备，增加了</w:t>
      </w:r>
      <w:r>
        <w:rPr>
          <w:rFonts w:ascii="宋体" w:hAnsi="宋体"/>
          <w:sz w:val="24"/>
          <w:szCs w:val="24"/>
        </w:rPr>
        <w:t>1</w:t>
      </w:r>
      <w:r>
        <w:rPr>
          <w:rFonts w:hint="eastAsia" w:ascii="宋体" w:hAnsi="宋体"/>
          <w:sz w:val="24"/>
          <w:szCs w:val="24"/>
        </w:rPr>
        <w:t>个现代学徒制试点基地</w:t>
      </w:r>
      <w:r>
        <w:rPr>
          <w:rFonts w:ascii="宋体" w:hAnsi="宋体"/>
          <w:sz w:val="24"/>
          <w:szCs w:val="24"/>
        </w:rPr>
        <w:t>——</w:t>
      </w:r>
      <w:r>
        <w:rPr>
          <w:rFonts w:hint="eastAsia" w:ascii="宋体" w:hAnsi="宋体"/>
          <w:sz w:val="24"/>
          <w:szCs w:val="24"/>
        </w:rPr>
        <w:t>福州美源工艺品有限公司。</w:t>
      </w:r>
    </w:p>
    <w:p>
      <w:pPr>
        <w:spacing w:line="400" w:lineRule="exact"/>
        <w:ind w:firstLine="480" w:firstLineChars="200"/>
        <w:rPr>
          <w:rFonts w:ascii="宋体"/>
          <w:sz w:val="24"/>
          <w:szCs w:val="24"/>
        </w:rPr>
      </w:pPr>
      <w:r>
        <w:rPr>
          <w:rFonts w:ascii="宋体" w:hAnsi="宋体"/>
          <w:sz w:val="24"/>
          <w:szCs w:val="24"/>
        </w:rPr>
        <w:t>1.</w:t>
      </w:r>
      <w:r>
        <w:rPr>
          <w:rFonts w:hint="eastAsia" w:ascii="宋体" w:hAnsi="宋体"/>
          <w:sz w:val="24"/>
          <w:szCs w:val="24"/>
        </w:rPr>
        <w:t>校内实训基地建设</w:t>
      </w:r>
    </w:p>
    <w:p>
      <w:pPr>
        <w:spacing w:line="400" w:lineRule="exact"/>
        <w:ind w:firstLine="480" w:firstLineChars="200"/>
        <w:rPr>
          <w:rFonts w:ascii="宋体"/>
          <w:sz w:val="24"/>
          <w:szCs w:val="24"/>
        </w:rPr>
      </w:pPr>
      <w:r>
        <w:rPr>
          <w:rFonts w:hint="eastAsia" w:ascii="宋体" w:hAnsi="宋体"/>
          <w:sz w:val="24"/>
          <w:szCs w:val="24"/>
        </w:rPr>
        <w:t>校内实训基地建设遵循</w:t>
      </w:r>
      <w:r>
        <w:rPr>
          <w:rFonts w:ascii="宋体" w:hAnsi="宋体"/>
          <w:sz w:val="24"/>
          <w:szCs w:val="24"/>
        </w:rPr>
        <w:t>8</w:t>
      </w:r>
      <w:r>
        <w:rPr>
          <w:rFonts w:hint="eastAsia" w:ascii="宋体" w:hAnsi="宋体"/>
          <w:sz w:val="24"/>
          <w:szCs w:val="24"/>
        </w:rPr>
        <w:t>字原则“从无到有，重点优先”。因</w:t>
      </w:r>
      <w:r>
        <w:rPr>
          <w:rFonts w:ascii="宋体" w:hAnsi="宋体"/>
          <w:sz w:val="24"/>
          <w:szCs w:val="24"/>
        </w:rPr>
        <w:t>1</w:t>
      </w:r>
      <w:r>
        <w:rPr>
          <w:rFonts w:hint="eastAsia" w:ascii="宋体" w:hAnsi="宋体"/>
          <w:sz w:val="24"/>
          <w:szCs w:val="24"/>
        </w:rPr>
        <w:t>3间普通教师个人工作室画室鉴定为危房，学校向高新区申请了156万资金，改建了</w:t>
      </w:r>
      <w:r>
        <w:rPr>
          <w:rFonts w:ascii="宋体" w:hAnsi="宋体"/>
          <w:sz w:val="24"/>
          <w:szCs w:val="24"/>
        </w:rPr>
        <w:t>1</w:t>
      </w:r>
      <w:r>
        <w:rPr>
          <w:rFonts w:hint="eastAsia" w:ascii="宋体" w:hAnsi="宋体"/>
          <w:sz w:val="24"/>
          <w:szCs w:val="24"/>
        </w:rPr>
        <w:t>1间活动房作为专业教师的个人工作室（画室），</w:t>
      </w:r>
      <w:r>
        <w:rPr>
          <w:rFonts w:ascii="宋体" w:hAnsi="宋体"/>
          <w:sz w:val="24"/>
          <w:szCs w:val="24"/>
        </w:rPr>
        <w:t>20</w:t>
      </w:r>
      <w:r>
        <w:rPr>
          <w:rFonts w:hint="eastAsia" w:ascii="宋体" w:hAnsi="宋体"/>
          <w:sz w:val="24"/>
          <w:szCs w:val="24"/>
        </w:rPr>
        <w:t>20年下半年，学校准备申请部分资金，为学生活动中心（实训楼）增加了民族陶艺专业实训室设备，增加了60个校内的实习工位。</w:t>
      </w:r>
    </w:p>
    <w:p>
      <w:pPr>
        <w:spacing w:line="400" w:lineRule="exact"/>
        <w:ind w:firstLine="480" w:firstLineChars="200"/>
        <w:rPr>
          <w:rFonts w:ascii="宋体"/>
          <w:sz w:val="24"/>
          <w:szCs w:val="24"/>
        </w:rPr>
      </w:pPr>
      <w:r>
        <w:rPr>
          <w:rFonts w:ascii="宋体" w:hAnsi="宋体"/>
          <w:sz w:val="24"/>
          <w:szCs w:val="24"/>
        </w:rPr>
        <w:t>2.</w:t>
      </w:r>
      <w:r>
        <w:rPr>
          <w:rFonts w:hint="eastAsia" w:ascii="宋体" w:hAnsi="宋体"/>
          <w:sz w:val="24"/>
          <w:szCs w:val="24"/>
        </w:rPr>
        <w:t>校外实训基地建设</w:t>
      </w:r>
    </w:p>
    <w:p>
      <w:pPr>
        <w:spacing w:line="400" w:lineRule="exact"/>
        <w:ind w:firstLine="480" w:firstLineChars="200"/>
        <w:rPr>
          <w:rFonts w:hint="eastAsia" w:ascii="宋体" w:hAnsi="宋体"/>
          <w:sz w:val="24"/>
          <w:szCs w:val="24"/>
        </w:rPr>
      </w:pPr>
      <w:r>
        <w:rPr>
          <w:rFonts w:ascii="宋体" w:hAnsi="宋体"/>
          <w:sz w:val="24"/>
          <w:szCs w:val="24"/>
        </w:rPr>
        <w:t>20</w:t>
      </w:r>
      <w:r>
        <w:rPr>
          <w:rFonts w:hint="eastAsia" w:ascii="宋体" w:hAnsi="宋体"/>
          <w:sz w:val="24"/>
          <w:szCs w:val="24"/>
        </w:rPr>
        <w:t>20年因受疫情的影响，毕业生实习工作受到限制。</w:t>
      </w:r>
    </w:p>
    <w:p>
      <w:pPr>
        <w:spacing w:line="40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．教学资源建设</w:t>
      </w:r>
    </w:p>
    <w:p>
      <w:pPr>
        <w:spacing w:line="400" w:lineRule="exact"/>
        <w:ind w:firstLine="480" w:firstLineChars="200"/>
        <w:rPr>
          <w:rFonts w:ascii="宋体"/>
          <w:sz w:val="24"/>
          <w:szCs w:val="24"/>
        </w:rPr>
      </w:pPr>
      <w:r>
        <w:rPr>
          <w:rFonts w:hint="eastAsia" w:ascii="宋体"/>
          <w:sz w:val="24"/>
          <w:szCs w:val="24"/>
        </w:rPr>
        <w:t>为了配合中职学业水平考试与2020年福建省高职分类考试，学校花了15万元购买了北京超星尔雅中职德育研发中心的互联网+中职德育课程教学改革资源（德育课程辅助系统一套）；花了5万元购买了厦门大拇哥教育科技有限公司——美术基础学科专业基础课程建设资源一套；积极动员教师充分利用相关教育资源公共服务平台资源，实现校际交流合作，获取名校名师的经验分享。</w:t>
      </w:r>
    </w:p>
    <w:p>
      <w:pPr>
        <w:spacing w:line="400" w:lineRule="exact"/>
        <w:ind w:firstLine="422" w:firstLineChars="150"/>
        <w:rPr>
          <w:rFonts w:ascii="宋体"/>
          <w:b/>
          <w:sz w:val="28"/>
          <w:szCs w:val="28"/>
        </w:rPr>
      </w:pPr>
    </w:p>
    <w:p>
      <w:pPr>
        <w:spacing w:line="400" w:lineRule="exact"/>
        <w:ind w:firstLine="422" w:firstLineChars="150"/>
        <w:rPr>
          <w:rFonts w:ascii="宋体"/>
          <w:b/>
          <w:sz w:val="28"/>
          <w:szCs w:val="28"/>
        </w:rPr>
      </w:pPr>
      <w:r>
        <w:rPr>
          <w:rFonts w:ascii="宋体" w:hAnsi="宋体"/>
          <w:b/>
          <w:sz w:val="28"/>
          <w:szCs w:val="28"/>
        </w:rPr>
        <w:t>3.3</w:t>
      </w:r>
      <w:r>
        <w:rPr>
          <w:rFonts w:hint="eastAsia" w:ascii="宋体" w:hAnsi="宋体"/>
          <w:b/>
          <w:sz w:val="28"/>
          <w:szCs w:val="28"/>
        </w:rPr>
        <w:t>教师培养培训</w:t>
      </w:r>
    </w:p>
    <w:p>
      <w:pPr>
        <w:spacing w:line="400" w:lineRule="exact"/>
        <w:ind w:firstLine="422" w:firstLineChars="150"/>
        <w:rPr>
          <w:rFonts w:ascii="宋体"/>
          <w:b/>
          <w:sz w:val="28"/>
          <w:szCs w:val="28"/>
        </w:rPr>
      </w:pPr>
    </w:p>
    <w:p>
      <w:pPr>
        <w:autoSpaceDE w:val="0"/>
        <w:autoSpaceDN w:val="0"/>
        <w:adjustRightInd w:val="0"/>
        <w:spacing w:line="400" w:lineRule="exact"/>
        <w:ind w:firstLine="480" w:firstLineChars="200"/>
        <w:rPr>
          <w:rFonts w:ascii="宋体"/>
          <w:sz w:val="24"/>
        </w:rPr>
      </w:pPr>
      <w:r>
        <w:rPr>
          <w:rFonts w:ascii="宋体" w:hAnsi="宋体"/>
          <w:sz w:val="24"/>
        </w:rPr>
        <w:t>2020</w:t>
      </w:r>
      <w:r>
        <w:rPr>
          <w:rFonts w:hint="eastAsia" w:ascii="宋体" w:hAnsi="宋体"/>
          <w:sz w:val="24"/>
        </w:rPr>
        <w:t>年学校始终重视教师培养培训，认真贯彻落实《国务院关于加强教师队伍建设的意见》，通过大力宣传职业教育，树立先进人物典型，爱岗敬业，热爱学生，增强从事职业教育的荣誉感，使命感，以人格魅力、学识魅力、职业魅力和艺术魅力教育感染学生，做学生职业生涯的指导人和健康成长的引路人。切实落实教育规划纲要，制定教师培养培训计划。</w:t>
      </w:r>
    </w:p>
    <w:p>
      <w:pPr>
        <w:spacing w:line="400" w:lineRule="exact"/>
        <w:ind w:firstLine="480" w:firstLineChars="200"/>
        <w:rPr>
          <w:rFonts w:ascii="宋体"/>
          <w:sz w:val="24"/>
          <w:szCs w:val="24"/>
        </w:rPr>
      </w:pPr>
      <w:r>
        <w:rPr>
          <w:rFonts w:ascii="宋体" w:hAnsi="宋体"/>
          <w:sz w:val="24"/>
          <w:szCs w:val="24"/>
        </w:rPr>
        <w:t xml:space="preserve"> </w:t>
      </w:r>
      <w:r>
        <w:rPr>
          <w:rFonts w:hint="eastAsia" w:ascii="宋体" w:hAnsi="宋体"/>
          <w:sz w:val="24"/>
          <w:szCs w:val="24"/>
        </w:rPr>
        <w:t>举办专题讲座形式。一年来学校聘请校外培训指导教师进行各类专题讲座，如：</w:t>
      </w:r>
      <w:r>
        <w:rPr>
          <w:rFonts w:ascii="宋体" w:hAnsi="宋体"/>
          <w:sz w:val="24"/>
          <w:szCs w:val="24"/>
        </w:rPr>
        <w:t>2019</w:t>
      </w:r>
      <w:r>
        <w:rPr>
          <w:rFonts w:hint="eastAsia" w:ascii="宋体" w:hAnsi="宋体"/>
          <w:sz w:val="24"/>
          <w:szCs w:val="24"/>
        </w:rPr>
        <w:t>年</w:t>
      </w:r>
      <w:r>
        <w:rPr>
          <w:rFonts w:ascii="宋体" w:hAnsi="宋体"/>
          <w:sz w:val="24"/>
          <w:szCs w:val="24"/>
        </w:rPr>
        <w:t>9</w:t>
      </w:r>
      <w:r>
        <w:rPr>
          <w:rFonts w:hint="eastAsia" w:ascii="宋体" w:hAnsi="宋体"/>
          <w:sz w:val="24"/>
          <w:szCs w:val="24"/>
        </w:rPr>
        <w:t>月</w:t>
      </w:r>
      <w:r>
        <w:rPr>
          <w:rFonts w:ascii="宋体" w:hAnsi="宋体"/>
          <w:sz w:val="24"/>
          <w:szCs w:val="24"/>
        </w:rPr>
        <w:t>2</w:t>
      </w:r>
      <w:r>
        <w:rPr>
          <w:rFonts w:hint="eastAsia" w:ascii="宋体" w:hAnsi="宋体"/>
          <w:sz w:val="24"/>
          <w:szCs w:val="24"/>
        </w:rPr>
        <w:t>日邀请了福州市教育局杨谓祥老师对作了《教职员工安全》、</w:t>
      </w:r>
      <w:r>
        <w:rPr>
          <w:rFonts w:ascii="宋体" w:hAnsi="宋体"/>
          <w:sz w:val="24"/>
          <w:szCs w:val="24"/>
        </w:rPr>
        <w:t>2019</w:t>
      </w:r>
      <w:r>
        <w:rPr>
          <w:rFonts w:hint="eastAsia" w:ascii="宋体" w:hAnsi="宋体"/>
          <w:sz w:val="24"/>
          <w:szCs w:val="24"/>
        </w:rPr>
        <w:t>年</w:t>
      </w:r>
      <w:r>
        <w:rPr>
          <w:rFonts w:ascii="宋体" w:hAnsi="宋体"/>
          <w:sz w:val="24"/>
          <w:szCs w:val="24"/>
        </w:rPr>
        <w:t>12</w:t>
      </w:r>
      <w:r>
        <w:rPr>
          <w:rFonts w:hint="eastAsia" w:ascii="宋体" w:hAnsi="宋体"/>
          <w:sz w:val="24"/>
          <w:szCs w:val="24"/>
        </w:rPr>
        <w:t>月</w:t>
      </w:r>
      <w:r>
        <w:rPr>
          <w:rFonts w:ascii="宋体" w:hAnsi="宋体"/>
          <w:sz w:val="24"/>
          <w:szCs w:val="24"/>
        </w:rPr>
        <w:t>17</w:t>
      </w:r>
      <w:r>
        <w:rPr>
          <w:rFonts w:hint="eastAsia" w:ascii="宋体" w:hAnsi="宋体"/>
          <w:sz w:val="24"/>
          <w:szCs w:val="24"/>
        </w:rPr>
        <w:t>日邀请福州市职业教育中心的黄碧珠主任作《</w:t>
      </w:r>
      <w:r>
        <w:rPr>
          <w:rFonts w:ascii="宋体" w:hAnsi="宋体"/>
          <w:sz w:val="24"/>
          <w:szCs w:val="24"/>
        </w:rPr>
        <w:t>&lt;</w:t>
      </w:r>
      <w:r>
        <w:rPr>
          <w:rFonts w:hint="eastAsia" w:ascii="宋体" w:hAnsi="宋体"/>
          <w:sz w:val="24"/>
          <w:szCs w:val="24"/>
        </w:rPr>
        <w:t>指导意见</w:t>
      </w:r>
      <w:r>
        <w:rPr>
          <w:rFonts w:ascii="宋体" w:hAnsi="宋体"/>
          <w:sz w:val="24"/>
          <w:szCs w:val="24"/>
        </w:rPr>
        <w:t>&gt;</w:t>
      </w:r>
      <w:r>
        <w:rPr>
          <w:rFonts w:hint="eastAsia" w:ascii="宋体" w:hAnsi="宋体"/>
          <w:sz w:val="24"/>
          <w:szCs w:val="24"/>
        </w:rPr>
        <w:t>背景下中职专业人才培养方案修订方向与实践举措》、</w:t>
      </w:r>
      <w:r>
        <w:rPr>
          <w:rFonts w:ascii="宋体" w:hAnsi="宋体"/>
          <w:sz w:val="24"/>
          <w:szCs w:val="24"/>
        </w:rPr>
        <w:t>2020</w:t>
      </w:r>
      <w:r>
        <w:rPr>
          <w:rFonts w:hint="eastAsia" w:ascii="宋体" w:hAnsi="宋体"/>
          <w:sz w:val="24"/>
          <w:szCs w:val="24"/>
        </w:rPr>
        <w:t>年</w:t>
      </w:r>
      <w:r>
        <w:rPr>
          <w:rFonts w:ascii="宋体" w:hAnsi="宋体"/>
          <w:sz w:val="24"/>
          <w:szCs w:val="24"/>
        </w:rPr>
        <w:t>1</w:t>
      </w:r>
      <w:r>
        <w:rPr>
          <w:rFonts w:hint="eastAsia" w:ascii="宋体" w:hAnsi="宋体"/>
          <w:sz w:val="24"/>
          <w:szCs w:val="24"/>
        </w:rPr>
        <w:t>月</w:t>
      </w:r>
      <w:r>
        <w:rPr>
          <w:rFonts w:ascii="宋体" w:hAnsi="宋体"/>
          <w:sz w:val="24"/>
          <w:szCs w:val="24"/>
        </w:rPr>
        <w:t>6</w:t>
      </w:r>
      <w:r>
        <w:rPr>
          <w:rFonts w:hint="eastAsia" w:ascii="宋体" w:hAnsi="宋体"/>
          <w:sz w:val="24"/>
          <w:szCs w:val="24"/>
        </w:rPr>
        <w:t>日邀请福州市职业教育中心吴东红主任作《课堂有温度</w:t>
      </w:r>
      <w:r>
        <w:rPr>
          <w:rFonts w:ascii="宋体" w:hAnsi="宋体"/>
          <w:sz w:val="24"/>
          <w:szCs w:val="24"/>
        </w:rPr>
        <w:t xml:space="preserve"> </w:t>
      </w:r>
      <w:r>
        <w:rPr>
          <w:rFonts w:hint="eastAsia" w:ascii="宋体" w:hAnsi="宋体"/>
          <w:sz w:val="24"/>
          <w:szCs w:val="24"/>
        </w:rPr>
        <w:t>教学能相长</w:t>
      </w:r>
      <w:r>
        <w:rPr>
          <w:rFonts w:ascii="宋体" w:hAnsi="宋体"/>
          <w:sz w:val="24"/>
          <w:szCs w:val="24"/>
        </w:rPr>
        <w:t>—</w:t>
      </w:r>
      <w:r>
        <w:rPr>
          <w:rFonts w:hint="eastAsia" w:ascii="宋体" w:hAnsi="宋体"/>
          <w:sz w:val="24"/>
          <w:szCs w:val="24"/>
        </w:rPr>
        <w:t>职教新理念下的有效教学设计》讲座、</w:t>
      </w:r>
      <w:r>
        <w:rPr>
          <w:rFonts w:ascii="宋体" w:hAnsi="宋体"/>
          <w:sz w:val="24"/>
          <w:szCs w:val="24"/>
        </w:rPr>
        <w:t>2020</w:t>
      </w:r>
      <w:r>
        <w:rPr>
          <w:rFonts w:hint="eastAsia" w:ascii="宋体" w:hAnsi="宋体"/>
          <w:sz w:val="24"/>
          <w:szCs w:val="24"/>
        </w:rPr>
        <w:t>年</w:t>
      </w:r>
      <w:r>
        <w:rPr>
          <w:rFonts w:ascii="宋体" w:hAnsi="宋体"/>
          <w:sz w:val="24"/>
          <w:szCs w:val="24"/>
        </w:rPr>
        <w:t>1</w:t>
      </w:r>
      <w:r>
        <w:rPr>
          <w:rFonts w:hint="eastAsia" w:ascii="宋体" w:hAnsi="宋体"/>
          <w:sz w:val="24"/>
          <w:szCs w:val="24"/>
        </w:rPr>
        <w:t>月</w:t>
      </w:r>
      <w:r>
        <w:rPr>
          <w:rFonts w:ascii="宋体" w:hAnsi="宋体"/>
          <w:sz w:val="24"/>
          <w:szCs w:val="24"/>
        </w:rPr>
        <w:t>14</w:t>
      </w:r>
      <w:r>
        <w:rPr>
          <w:rFonts w:hint="eastAsia" w:ascii="宋体" w:hAnsi="宋体"/>
          <w:sz w:val="24"/>
          <w:szCs w:val="24"/>
        </w:rPr>
        <w:t>日邀请虎峰中学校长、书记吴元彬作《</w:t>
      </w:r>
      <w:r>
        <w:rPr>
          <w:rFonts w:hint="eastAsia" w:ascii="宋体" w:hAnsi="宋体"/>
          <w:bCs/>
          <w:sz w:val="24"/>
          <w:szCs w:val="24"/>
        </w:rPr>
        <w:t>新时代德育工作者的使命</w:t>
      </w:r>
      <w:r>
        <w:rPr>
          <w:rFonts w:hint="eastAsia" w:ascii="宋体" w:hAnsi="宋体"/>
          <w:sz w:val="24"/>
          <w:szCs w:val="24"/>
        </w:rPr>
        <w:t>》讲座等。</w:t>
      </w:r>
    </w:p>
    <w:p>
      <w:pPr>
        <w:spacing w:line="400" w:lineRule="exact"/>
        <w:ind w:firstLine="480" w:firstLineChars="200"/>
        <w:rPr>
          <w:rFonts w:ascii="宋体"/>
          <w:sz w:val="24"/>
          <w:szCs w:val="24"/>
        </w:rPr>
      </w:pPr>
      <w:r>
        <w:rPr>
          <w:rFonts w:hint="eastAsia" w:ascii="宋体" w:hAnsi="宋体"/>
          <w:sz w:val="24"/>
          <w:szCs w:val="24"/>
        </w:rPr>
        <w:t>实践与交流形式。由教研组具体组织实施开展教学分析与研究；开展主题研讨，围绕主题研讨组织青年教师教学评优课活动，通过说课、听课、评课活动，相互研究，共同提高；开展师徒结对、论文、课件制作等活动；开展校内或校际间的教学交流活动。结集出版了一期《闽侯美术中等职业学校教师论文集》。</w:t>
      </w:r>
    </w:p>
    <w:p>
      <w:pPr>
        <w:spacing w:line="400" w:lineRule="exact"/>
        <w:ind w:firstLine="480" w:firstLineChars="200"/>
        <w:rPr>
          <w:rFonts w:ascii="宋体"/>
          <w:sz w:val="24"/>
          <w:szCs w:val="24"/>
        </w:rPr>
      </w:pPr>
    </w:p>
    <w:p>
      <w:pPr>
        <w:spacing w:line="400" w:lineRule="exact"/>
        <w:rPr>
          <w:rFonts w:ascii="宋体"/>
          <w:bCs/>
          <w:sz w:val="24"/>
          <w:szCs w:val="24"/>
        </w:rPr>
      </w:pPr>
    </w:p>
    <w:p>
      <w:pPr>
        <w:spacing w:line="400" w:lineRule="exact"/>
        <w:jc w:val="center"/>
        <w:rPr>
          <w:rFonts w:ascii="宋体"/>
          <w:bCs/>
          <w:sz w:val="24"/>
          <w:szCs w:val="24"/>
        </w:rPr>
      </w:pPr>
      <w:r>
        <w:rPr>
          <w:rFonts w:hint="eastAsia" w:ascii="宋体" w:hAnsi="宋体"/>
          <w:bCs/>
          <w:sz w:val="24"/>
          <w:szCs w:val="24"/>
        </w:rPr>
        <w:t>表</w:t>
      </w:r>
      <w:r>
        <w:rPr>
          <w:rFonts w:ascii="宋体" w:hAnsi="宋体"/>
          <w:bCs/>
          <w:sz w:val="24"/>
          <w:szCs w:val="24"/>
        </w:rPr>
        <w:t>7</w:t>
      </w:r>
      <w:r>
        <w:rPr>
          <w:rFonts w:hint="eastAsia" w:ascii="宋体" w:hAnsi="宋体"/>
          <w:bCs/>
          <w:sz w:val="24"/>
          <w:szCs w:val="24"/>
        </w:rPr>
        <w:t>：校本研训成果情况一览表</w:t>
      </w:r>
    </w:p>
    <w:tbl>
      <w:tblPr>
        <w:tblStyle w:val="7"/>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203"/>
        <w:gridCol w:w="1356"/>
        <w:gridCol w:w="1001"/>
        <w:gridCol w:w="914"/>
        <w:gridCol w:w="851"/>
        <w:gridCol w:w="733"/>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61" w:type="dxa"/>
            <w:vMerge w:val="restart"/>
            <w:vAlign w:val="center"/>
          </w:tcPr>
          <w:p>
            <w:pPr>
              <w:adjustRightInd w:val="0"/>
              <w:snapToGrid w:val="0"/>
              <w:jc w:val="center"/>
              <w:rPr>
                <w:rFonts w:ascii="宋体"/>
              </w:rPr>
            </w:pPr>
            <w:r>
              <w:rPr>
                <w:rFonts w:hint="eastAsia" w:ascii="宋体" w:hAnsi="宋体"/>
              </w:rPr>
              <w:t>时间</w:t>
            </w:r>
          </w:p>
        </w:tc>
        <w:tc>
          <w:tcPr>
            <w:tcW w:w="1203" w:type="dxa"/>
            <w:vMerge w:val="restart"/>
            <w:vAlign w:val="center"/>
          </w:tcPr>
          <w:p>
            <w:pPr>
              <w:adjustRightInd w:val="0"/>
              <w:snapToGrid w:val="0"/>
              <w:jc w:val="center"/>
              <w:rPr>
                <w:rFonts w:ascii="宋体"/>
              </w:rPr>
            </w:pPr>
            <w:r>
              <w:rPr>
                <w:rFonts w:hint="eastAsia" w:ascii="宋体" w:hAnsi="宋体"/>
              </w:rPr>
              <w:t>专家讲座</w:t>
            </w:r>
          </w:p>
        </w:tc>
        <w:tc>
          <w:tcPr>
            <w:tcW w:w="1356" w:type="dxa"/>
            <w:vMerge w:val="restart"/>
            <w:vAlign w:val="center"/>
          </w:tcPr>
          <w:p>
            <w:pPr>
              <w:adjustRightInd w:val="0"/>
              <w:snapToGrid w:val="0"/>
              <w:jc w:val="center"/>
              <w:rPr>
                <w:rFonts w:ascii="宋体"/>
              </w:rPr>
            </w:pPr>
            <w:r>
              <w:rPr>
                <w:rFonts w:hint="eastAsia" w:ascii="宋体" w:hAnsi="宋体"/>
              </w:rPr>
              <w:t>校级</w:t>
            </w:r>
          </w:p>
          <w:p>
            <w:pPr>
              <w:adjustRightInd w:val="0"/>
              <w:snapToGrid w:val="0"/>
              <w:jc w:val="center"/>
              <w:rPr>
                <w:rFonts w:ascii="宋体"/>
              </w:rPr>
            </w:pPr>
            <w:r>
              <w:rPr>
                <w:rFonts w:hint="eastAsia" w:ascii="宋体" w:hAnsi="宋体"/>
              </w:rPr>
              <w:t>研讨讲座</w:t>
            </w:r>
          </w:p>
        </w:tc>
        <w:tc>
          <w:tcPr>
            <w:tcW w:w="3499" w:type="dxa"/>
            <w:gridSpan w:val="4"/>
            <w:vAlign w:val="center"/>
          </w:tcPr>
          <w:p>
            <w:pPr>
              <w:adjustRightInd w:val="0"/>
              <w:snapToGrid w:val="0"/>
              <w:jc w:val="center"/>
              <w:rPr>
                <w:rFonts w:ascii="宋体"/>
              </w:rPr>
            </w:pPr>
            <w:r>
              <w:rPr>
                <w:rFonts w:hint="eastAsia" w:ascii="宋体" w:hAnsi="宋体"/>
              </w:rPr>
              <w:t>公开课或讲座</w:t>
            </w:r>
          </w:p>
        </w:tc>
        <w:tc>
          <w:tcPr>
            <w:tcW w:w="1597" w:type="dxa"/>
            <w:vMerge w:val="restart"/>
            <w:vAlign w:val="center"/>
          </w:tcPr>
          <w:p>
            <w:pPr>
              <w:adjustRightInd w:val="0"/>
              <w:snapToGrid w:val="0"/>
              <w:jc w:val="center"/>
              <w:rPr>
                <w:rFonts w:ascii="宋体"/>
              </w:rPr>
            </w:pPr>
            <w:r>
              <w:rPr>
                <w:rFonts w:ascii="宋体" w:hAnsi="宋体"/>
              </w:rPr>
              <w:t>CN</w:t>
            </w:r>
            <w:r>
              <w:rPr>
                <w:rFonts w:hint="eastAsia" w:ascii="宋体" w:hAnsi="宋体"/>
              </w:rPr>
              <w:t>及区级以上获奖论文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1" w:type="dxa"/>
            <w:vMerge w:val="continue"/>
          </w:tcPr>
          <w:p>
            <w:pPr>
              <w:adjustRightInd w:val="0"/>
              <w:snapToGrid w:val="0"/>
              <w:jc w:val="center"/>
              <w:rPr>
                <w:rFonts w:ascii="宋体"/>
              </w:rPr>
            </w:pPr>
          </w:p>
        </w:tc>
        <w:tc>
          <w:tcPr>
            <w:tcW w:w="1203" w:type="dxa"/>
            <w:vMerge w:val="continue"/>
            <w:vAlign w:val="center"/>
          </w:tcPr>
          <w:p>
            <w:pPr>
              <w:adjustRightInd w:val="0"/>
              <w:snapToGrid w:val="0"/>
              <w:jc w:val="center"/>
              <w:rPr>
                <w:rFonts w:ascii="宋体"/>
              </w:rPr>
            </w:pPr>
          </w:p>
        </w:tc>
        <w:tc>
          <w:tcPr>
            <w:tcW w:w="1356" w:type="dxa"/>
            <w:vMerge w:val="continue"/>
            <w:vAlign w:val="center"/>
          </w:tcPr>
          <w:p>
            <w:pPr>
              <w:adjustRightInd w:val="0"/>
              <w:snapToGrid w:val="0"/>
              <w:jc w:val="center"/>
              <w:rPr>
                <w:rFonts w:ascii="宋体"/>
              </w:rPr>
            </w:pPr>
          </w:p>
        </w:tc>
        <w:tc>
          <w:tcPr>
            <w:tcW w:w="1001" w:type="dxa"/>
            <w:vAlign w:val="center"/>
          </w:tcPr>
          <w:p>
            <w:pPr>
              <w:adjustRightInd w:val="0"/>
              <w:snapToGrid w:val="0"/>
              <w:jc w:val="center"/>
              <w:rPr>
                <w:rFonts w:ascii="宋体"/>
              </w:rPr>
            </w:pPr>
            <w:r>
              <w:rPr>
                <w:rFonts w:hint="eastAsia" w:ascii="宋体" w:hAnsi="宋体"/>
              </w:rPr>
              <w:t>市级</w:t>
            </w:r>
          </w:p>
          <w:p>
            <w:pPr>
              <w:adjustRightInd w:val="0"/>
              <w:snapToGrid w:val="0"/>
              <w:jc w:val="center"/>
              <w:rPr>
                <w:rFonts w:ascii="宋体"/>
              </w:rPr>
            </w:pPr>
            <w:r>
              <w:rPr>
                <w:rFonts w:hint="eastAsia" w:ascii="宋体" w:hAnsi="宋体"/>
              </w:rPr>
              <w:t>优质课</w:t>
            </w:r>
          </w:p>
        </w:tc>
        <w:tc>
          <w:tcPr>
            <w:tcW w:w="914" w:type="dxa"/>
            <w:vAlign w:val="center"/>
          </w:tcPr>
          <w:p>
            <w:pPr>
              <w:adjustRightInd w:val="0"/>
              <w:snapToGrid w:val="0"/>
              <w:jc w:val="center"/>
              <w:rPr>
                <w:rFonts w:ascii="宋体"/>
              </w:rPr>
            </w:pPr>
            <w:r>
              <w:rPr>
                <w:rFonts w:hint="eastAsia" w:ascii="宋体" w:hAnsi="宋体"/>
              </w:rPr>
              <w:t>市级</w:t>
            </w:r>
          </w:p>
        </w:tc>
        <w:tc>
          <w:tcPr>
            <w:tcW w:w="851" w:type="dxa"/>
            <w:vAlign w:val="center"/>
          </w:tcPr>
          <w:p>
            <w:pPr>
              <w:adjustRightInd w:val="0"/>
              <w:snapToGrid w:val="0"/>
              <w:jc w:val="center"/>
              <w:rPr>
                <w:rFonts w:ascii="宋体"/>
              </w:rPr>
            </w:pPr>
            <w:r>
              <w:rPr>
                <w:rFonts w:hint="eastAsia" w:ascii="宋体" w:hAnsi="宋体"/>
              </w:rPr>
              <w:t>区级</w:t>
            </w:r>
          </w:p>
        </w:tc>
        <w:tc>
          <w:tcPr>
            <w:tcW w:w="733" w:type="dxa"/>
            <w:vAlign w:val="center"/>
          </w:tcPr>
          <w:p>
            <w:pPr>
              <w:adjustRightInd w:val="0"/>
              <w:snapToGrid w:val="0"/>
              <w:jc w:val="center"/>
              <w:rPr>
                <w:rFonts w:ascii="宋体"/>
              </w:rPr>
            </w:pPr>
            <w:r>
              <w:rPr>
                <w:rFonts w:hint="eastAsia" w:ascii="宋体" w:hAnsi="宋体"/>
              </w:rPr>
              <w:t>校级</w:t>
            </w:r>
          </w:p>
        </w:tc>
        <w:tc>
          <w:tcPr>
            <w:tcW w:w="1597" w:type="dxa"/>
            <w:vMerge w:val="continue"/>
            <w:vAlign w:val="center"/>
          </w:tcPr>
          <w:p>
            <w:pPr>
              <w:adjustRightInd w:val="0"/>
              <w:snapToGrid w:val="0"/>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1" w:type="dxa"/>
            <w:vAlign w:val="center"/>
          </w:tcPr>
          <w:p>
            <w:pPr>
              <w:adjustRightInd w:val="0"/>
              <w:snapToGrid w:val="0"/>
              <w:jc w:val="center"/>
              <w:rPr>
                <w:rFonts w:ascii="宋体"/>
              </w:rPr>
            </w:pPr>
            <w:r>
              <w:rPr>
                <w:rFonts w:ascii="宋体" w:hAnsi="宋体"/>
              </w:rPr>
              <w:t>201</w:t>
            </w:r>
            <w:r>
              <w:rPr>
                <w:rFonts w:hint="eastAsia" w:ascii="宋体" w:hAnsi="宋体"/>
              </w:rPr>
              <w:t>8</w:t>
            </w:r>
            <w:r>
              <w:rPr>
                <w:rFonts w:ascii="宋体" w:hAnsi="宋体"/>
              </w:rPr>
              <w:t>-201</w:t>
            </w:r>
            <w:r>
              <w:rPr>
                <w:rFonts w:hint="eastAsia" w:ascii="宋体" w:hAnsi="宋体"/>
              </w:rPr>
              <w:t>9学年</w:t>
            </w:r>
          </w:p>
        </w:tc>
        <w:tc>
          <w:tcPr>
            <w:tcW w:w="1203" w:type="dxa"/>
            <w:vAlign w:val="center"/>
          </w:tcPr>
          <w:p>
            <w:pPr>
              <w:adjustRightInd w:val="0"/>
              <w:snapToGrid w:val="0"/>
              <w:jc w:val="center"/>
              <w:rPr>
                <w:rFonts w:ascii="宋体"/>
              </w:rPr>
            </w:pPr>
            <w:r>
              <w:rPr>
                <w:rFonts w:ascii="宋体" w:hAnsi="宋体"/>
              </w:rPr>
              <w:t>5</w:t>
            </w:r>
          </w:p>
        </w:tc>
        <w:tc>
          <w:tcPr>
            <w:tcW w:w="1356" w:type="dxa"/>
            <w:vAlign w:val="center"/>
          </w:tcPr>
          <w:p>
            <w:pPr>
              <w:adjustRightInd w:val="0"/>
              <w:snapToGrid w:val="0"/>
              <w:jc w:val="center"/>
              <w:rPr>
                <w:rFonts w:ascii="宋体"/>
              </w:rPr>
            </w:pPr>
            <w:r>
              <w:rPr>
                <w:rFonts w:ascii="宋体"/>
              </w:rPr>
              <w:t>0</w:t>
            </w:r>
          </w:p>
        </w:tc>
        <w:tc>
          <w:tcPr>
            <w:tcW w:w="1001" w:type="dxa"/>
            <w:vAlign w:val="center"/>
          </w:tcPr>
          <w:p>
            <w:pPr>
              <w:adjustRightInd w:val="0"/>
              <w:snapToGrid w:val="0"/>
              <w:jc w:val="center"/>
              <w:rPr>
                <w:rFonts w:ascii="宋体"/>
              </w:rPr>
            </w:pPr>
            <w:r>
              <w:rPr>
                <w:rFonts w:hint="eastAsia" w:ascii="宋体" w:hAnsi="宋体"/>
              </w:rPr>
              <w:t>0</w:t>
            </w:r>
          </w:p>
        </w:tc>
        <w:tc>
          <w:tcPr>
            <w:tcW w:w="914" w:type="dxa"/>
            <w:vAlign w:val="center"/>
          </w:tcPr>
          <w:p>
            <w:pPr>
              <w:adjustRightInd w:val="0"/>
              <w:snapToGrid w:val="0"/>
              <w:jc w:val="center"/>
              <w:rPr>
                <w:rFonts w:ascii="宋体"/>
              </w:rPr>
            </w:pPr>
            <w:r>
              <w:rPr>
                <w:rFonts w:ascii="宋体"/>
              </w:rPr>
              <w:t>1</w:t>
            </w:r>
          </w:p>
        </w:tc>
        <w:tc>
          <w:tcPr>
            <w:tcW w:w="851" w:type="dxa"/>
            <w:vAlign w:val="center"/>
          </w:tcPr>
          <w:p>
            <w:pPr>
              <w:adjustRightInd w:val="0"/>
              <w:snapToGrid w:val="0"/>
              <w:jc w:val="center"/>
              <w:rPr>
                <w:rFonts w:ascii="宋体"/>
              </w:rPr>
            </w:pPr>
            <w:r>
              <w:rPr>
                <w:rFonts w:ascii="宋体"/>
              </w:rPr>
              <w:t>0</w:t>
            </w:r>
          </w:p>
        </w:tc>
        <w:tc>
          <w:tcPr>
            <w:tcW w:w="733" w:type="dxa"/>
            <w:vAlign w:val="center"/>
          </w:tcPr>
          <w:p>
            <w:pPr>
              <w:adjustRightInd w:val="0"/>
              <w:snapToGrid w:val="0"/>
              <w:jc w:val="center"/>
              <w:rPr>
                <w:rFonts w:ascii="宋体"/>
              </w:rPr>
            </w:pPr>
            <w:r>
              <w:rPr>
                <w:rFonts w:ascii="宋体" w:hAnsi="宋体"/>
              </w:rPr>
              <w:t>66</w:t>
            </w:r>
          </w:p>
        </w:tc>
        <w:tc>
          <w:tcPr>
            <w:tcW w:w="1597" w:type="dxa"/>
            <w:vAlign w:val="center"/>
          </w:tcPr>
          <w:p>
            <w:pPr>
              <w:adjustRightInd w:val="0"/>
              <w:snapToGrid w:val="0"/>
              <w:jc w:val="center"/>
              <w:rPr>
                <w:rFonts w:ascii="宋体"/>
              </w:rPr>
            </w:pPr>
            <w:r>
              <w:rPr>
                <w:rFonts w:hint="eastAsia" w:ascii="宋体" w:hAns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1" w:type="dxa"/>
            <w:vAlign w:val="center"/>
          </w:tcPr>
          <w:p>
            <w:pPr>
              <w:adjustRightInd w:val="0"/>
              <w:snapToGrid w:val="0"/>
              <w:jc w:val="center"/>
              <w:rPr>
                <w:rFonts w:ascii="宋体"/>
              </w:rPr>
            </w:pPr>
            <w:r>
              <w:rPr>
                <w:rFonts w:ascii="宋体" w:hAnsi="宋体"/>
              </w:rPr>
              <w:t>201</w:t>
            </w:r>
            <w:r>
              <w:rPr>
                <w:rFonts w:hint="eastAsia" w:ascii="宋体" w:hAnsi="宋体"/>
              </w:rPr>
              <w:t>9</w:t>
            </w:r>
            <w:r>
              <w:rPr>
                <w:rFonts w:ascii="宋体" w:hAnsi="宋体"/>
              </w:rPr>
              <w:t>-20</w:t>
            </w:r>
            <w:r>
              <w:rPr>
                <w:rFonts w:hint="eastAsia" w:ascii="宋体" w:hAnsi="宋体"/>
              </w:rPr>
              <w:t>20学年</w:t>
            </w:r>
          </w:p>
        </w:tc>
        <w:tc>
          <w:tcPr>
            <w:tcW w:w="1203" w:type="dxa"/>
            <w:vAlign w:val="center"/>
          </w:tcPr>
          <w:p>
            <w:pPr>
              <w:adjustRightInd w:val="0"/>
              <w:snapToGrid w:val="0"/>
              <w:jc w:val="center"/>
              <w:rPr>
                <w:rFonts w:ascii="宋体"/>
              </w:rPr>
            </w:pPr>
            <w:r>
              <w:rPr>
                <w:rFonts w:hint="eastAsia" w:ascii="宋体" w:hAnsi="宋体"/>
              </w:rPr>
              <w:t>4</w:t>
            </w:r>
          </w:p>
        </w:tc>
        <w:tc>
          <w:tcPr>
            <w:tcW w:w="1356" w:type="dxa"/>
            <w:vAlign w:val="center"/>
          </w:tcPr>
          <w:p>
            <w:pPr>
              <w:adjustRightInd w:val="0"/>
              <w:snapToGrid w:val="0"/>
              <w:jc w:val="center"/>
              <w:rPr>
                <w:rFonts w:ascii="宋体"/>
              </w:rPr>
            </w:pPr>
            <w:r>
              <w:rPr>
                <w:rFonts w:ascii="宋体"/>
              </w:rPr>
              <w:t>0</w:t>
            </w:r>
          </w:p>
        </w:tc>
        <w:tc>
          <w:tcPr>
            <w:tcW w:w="1001" w:type="dxa"/>
            <w:vAlign w:val="center"/>
          </w:tcPr>
          <w:p>
            <w:pPr>
              <w:adjustRightInd w:val="0"/>
              <w:snapToGrid w:val="0"/>
              <w:jc w:val="center"/>
              <w:rPr>
                <w:rFonts w:ascii="宋体"/>
              </w:rPr>
            </w:pPr>
            <w:r>
              <w:rPr>
                <w:rFonts w:ascii="宋体"/>
              </w:rPr>
              <w:t>0</w:t>
            </w:r>
          </w:p>
        </w:tc>
        <w:tc>
          <w:tcPr>
            <w:tcW w:w="914" w:type="dxa"/>
            <w:vAlign w:val="center"/>
          </w:tcPr>
          <w:p>
            <w:pPr>
              <w:adjustRightInd w:val="0"/>
              <w:snapToGrid w:val="0"/>
              <w:jc w:val="center"/>
              <w:rPr>
                <w:rFonts w:ascii="宋体"/>
              </w:rPr>
            </w:pPr>
            <w:r>
              <w:rPr>
                <w:rFonts w:hint="eastAsia" w:ascii="宋体"/>
              </w:rPr>
              <w:t>0</w:t>
            </w:r>
          </w:p>
        </w:tc>
        <w:tc>
          <w:tcPr>
            <w:tcW w:w="851" w:type="dxa"/>
            <w:vAlign w:val="center"/>
          </w:tcPr>
          <w:p>
            <w:pPr>
              <w:adjustRightInd w:val="0"/>
              <w:snapToGrid w:val="0"/>
              <w:jc w:val="center"/>
              <w:rPr>
                <w:rFonts w:ascii="宋体"/>
              </w:rPr>
            </w:pPr>
            <w:r>
              <w:rPr>
                <w:rFonts w:ascii="宋体"/>
              </w:rPr>
              <w:t>0</w:t>
            </w:r>
          </w:p>
        </w:tc>
        <w:tc>
          <w:tcPr>
            <w:tcW w:w="733" w:type="dxa"/>
            <w:vAlign w:val="center"/>
          </w:tcPr>
          <w:p>
            <w:pPr>
              <w:adjustRightInd w:val="0"/>
              <w:snapToGrid w:val="0"/>
              <w:jc w:val="center"/>
              <w:rPr>
                <w:rFonts w:ascii="宋体"/>
              </w:rPr>
            </w:pPr>
            <w:r>
              <w:rPr>
                <w:rFonts w:ascii="宋体" w:hAnsi="宋体"/>
              </w:rPr>
              <w:t>6</w:t>
            </w:r>
            <w:r>
              <w:rPr>
                <w:rFonts w:hint="eastAsia" w:ascii="宋体" w:hAnsi="宋体"/>
              </w:rPr>
              <w:t>3</w:t>
            </w:r>
          </w:p>
        </w:tc>
        <w:tc>
          <w:tcPr>
            <w:tcW w:w="1597" w:type="dxa"/>
            <w:vAlign w:val="center"/>
          </w:tcPr>
          <w:p>
            <w:pPr>
              <w:adjustRightInd w:val="0"/>
              <w:snapToGrid w:val="0"/>
              <w:jc w:val="center"/>
              <w:rPr>
                <w:rFonts w:ascii="宋体"/>
              </w:rPr>
            </w:pPr>
            <w:r>
              <w:rPr>
                <w:rFonts w:hint="eastAsia" w:ascii="宋体"/>
              </w:rPr>
              <w:t>5</w:t>
            </w:r>
          </w:p>
        </w:tc>
      </w:tr>
    </w:tbl>
    <w:p>
      <w:pPr>
        <w:spacing w:line="360" w:lineRule="auto"/>
        <w:ind w:firstLine="420" w:firstLineChars="200"/>
        <w:rPr>
          <w:rFonts w:ascii="宋体" w:cs="仿宋"/>
          <w:sz w:val="24"/>
        </w:rPr>
      </w:pPr>
      <w:r>
        <w:rPr>
          <w:rFonts w:hint="eastAsia" w:ascii="宋体"/>
        </w:rPr>
        <w:t>表</w:t>
      </w:r>
      <w:r>
        <w:rPr>
          <w:rFonts w:ascii="宋体"/>
        </w:rPr>
        <w:t>7</w:t>
      </w:r>
      <w:r>
        <w:rPr>
          <w:rFonts w:hint="eastAsia" w:ascii="宋体"/>
        </w:rPr>
        <w:t>数据来源：学校教务处统计提供</w:t>
      </w:r>
    </w:p>
    <w:p>
      <w:pPr>
        <w:spacing w:line="400" w:lineRule="exact"/>
        <w:ind w:firstLine="480" w:firstLineChars="200"/>
        <w:rPr>
          <w:rFonts w:ascii="宋体"/>
          <w:sz w:val="24"/>
          <w:szCs w:val="24"/>
        </w:rPr>
      </w:pPr>
    </w:p>
    <w:p>
      <w:pPr>
        <w:autoSpaceDE w:val="0"/>
        <w:autoSpaceDN w:val="0"/>
        <w:adjustRightInd w:val="0"/>
        <w:spacing w:line="400" w:lineRule="exact"/>
        <w:ind w:firstLine="435"/>
        <w:jc w:val="left"/>
        <w:rPr>
          <w:rFonts w:ascii="宋体" w:cs="宋体"/>
          <w:kern w:val="0"/>
          <w:sz w:val="24"/>
          <w:szCs w:val="24"/>
          <w:lang w:val="zh-CN"/>
        </w:rPr>
      </w:pPr>
      <w:r>
        <w:rPr>
          <w:rFonts w:hint="eastAsia" w:ascii="宋体" w:hAnsi="宋体" w:cs="宋体"/>
          <w:kern w:val="0"/>
          <w:sz w:val="24"/>
          <w:szCs w:val="24"/>
          <w:lang w:val="zh-CN"/>
        </w:rPr>
        <w:t>专业教师企业实践。学校挑选了工作认真负责，学习能力强的教师参加省、市组织的企业实践。这些参训教师既明确了企业的岗位需求，又提高了自身的专业技能水平，而且回校后还积极参加学校的教育教学改革。学校鼓励教师下企业实践，</w:t>
      </w:r>
      <w:r>
        <w:rPr>
          <w:rFonts w:hint="eastAsia" w:ascii="宋体" w:hAnsi="宋体"/>
          <w:sz w:val="24"/>
          <w:szCs w:val="24"/>
        </w:rPr>
        <w:t>每位专任教师都按要求下企业学习实践，每年文化课老师至少十五天，专业教师至少一个月，切实提高了教师实践动手的能力。</w:t>
      </w:r>
    </w:p>
    <w:p>
      <w:pPr>
        <w:spacing w:line="400" w:lineRule="exact"/>
        <w:ind w:firstLine="480" w:firstLineChars="200"/>
        <w:rPr>
          <w:rFonts w:ascii="宋体"/>
          <w:bCs/>
          <w:sz w:val="24"/>
          <w:szCs w:val="24"/>
        </w:rPr>
      </w:pPr>
    </w:p>
    <w:p>
      <w:pPr>
        <w:spacing w:line="400" w:lineRule="exact"/>
        <w:jc w:val="center"/>
        <w:rPr>
          <w:rFonts w:ascii="宋体"/>
          <w:sz w:val="24"/>
          <w:szCs w:val="24"/>
        </w:rPr>
      </w:pPr>
      <w:r>
        <w:rPr>
          <w:rFonts w:hint="eastAsia" w:ascii="宋体" w:hAnsi="宋体"/>
          <w:bCs/>
          <w:sz w:val="24"/>
          <w:szCs w:val="24"/>
        </w:rPr>
        <w:t>表</w:t>
      </w:r>
      <w:r>
        <w:rPr>
          <w:rFonts w:ascii="宋体" w:hAnsi="宋体"/>
          <w:bCs/>
          <w:sz w:val="24"/>
          <w:szCs w:val="24"/>
        </w:rPr>
        <w:t>8</w:t>
      </w:r>
      <w:r>
        <w:rPr>
          <w:rFonts w:hint="eastAsia" w:ascii="宋体" w:hAnsi="宋体"/>
          <w:bCs/>
          <w:sz w:val="24"/>
          <w:szCs w:val="24"/>
        </w:rPr>
        <w:t>：教师参加各级各类培训情况表</w:t>
      </w:r>
    </w:p>
    <w:tbl>
      <w:tblPr>
        <w:tblStyle w:val="7"/>
        <w:tblW w:w="8228"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078"/>
        <w:gridCol w:w="1134"/>
        <w:gridCol w:w="851"/>
        <w:gridCol w:w="1134"/>
        <w:gridCol w:w="1559"/>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6" w:type="dxa"/>
            <w:vMerge w:val="restart"/>
            <w:vAlign w:val="center"/>
          </w:tcPr>
          <w:p>
            <w:pPr>
              <w:adjustRightInd w:val="0"/>
              <w:snapToGrid w:val="0"/>
              <w:jc w:val="center"/>
              <w:rPr>
                <w:rFonts w:ascii="宋体"/>
              </w:rPr>
            </w:pPr>
            <w:r>
              <w:rPr>
                <w:rFonts w:hint="eastAsia" w:ascii="宋体" w:hAnsi="宋体"/>
              </w:rPr>
              <w:t>时间</w:t>
            </w:r>
          </w:p>
        </w:tc>
        <w:tc>
          <w:tcPr>
            <w:tcW w:w="1078" w:type="dxa"/>
            <w:vMerge w:val="restart"/>
            <w:vAlign w:val="center"/>
          </w:tcPr>
          <w:p>
            <w:pPr>
              <w:adjustRightInd w:val="0"/>
              <w:snapToGrid w:val="0"/>
              <w:jc w:val="center"/>
              <w:rPr>
                <w:rFonts w:ascii="宋体"/>
              </w:rPr>
            </w:pPr>
            <w:r>
              <w:rPr>
                <w:rFonts w:hint="eastAsia" w:ascii="宋体" w:hAnsi="宋体"/>
              </w:rPr>
              <w:t>总人数</w:t>
            </w:r>
          </w:p>
        </w:tc>
        <w:tc>
          <w:tcPr>
            <w:tcW w:w="3119" w:type="dxa"/>
            <w:gridSpan w:val="3"/>
            <w:vAlign w:val="center"/>
          </w:tcPr>
          <w:p>
            <w:pPr>
              <w:adjustRightInd w:val="0"/>
              <w:snapToGrid w:val="0"/>
              <w:jc w:val="center"/>
              <w:rPr>
                <w:rFonts w:ascii="宋体"/>
              </w:rPr>
            </w:pPr>
            <w:r>
              <w:rPr>
                <w:rFonts w:hint="eastAsia" w:ascii="宋体" w:hAnsi="宋体"/>
              </w:rPr>
              <w:t>骨干培训</w:t>
            </w:r>
          </w:p>
        </w:tc>
        <w:tc>
          <w:tcPr>
            <w:tcW w:w="1559" w:type="dxa"/>
            <w:vMerge w:val="restart"/>
            <w:vAlign w:val="center"/>
          </w:tcPr>
          <w:p>
            <w:pPr>
              <w:adjustRightInd w:val="0"/>
              <w:snapToGrid w:val="0"/>
              <w:jc w:val="center"/>
              <w:rPr>
                <w:rFonts w:ascii="宋体"/>
              </w:rPr>
            </w:pPr>
            <w:r>
              <w:rPr>
                <w:rFonts w:hint="eastAsia" w:ascii="宋体" w:hAnsi="宋体"/>
              </w:rPr>
              <w:t>其他市级以上培训</w:t>
            </w:r>
          </w:p>
        </w:tc>
        <w:tc>
          <w:tcPr>
            <w:tcW w:w="1276" w:type="dxa"/>
            <w:vMerge w:val="restart"/>
            <w:vAlign w:val="center"/>
          </w:tcPr>
          <w:p>
            <w:pPr>
              <w:adjustRightInd w:val="0"/>
              <w:snapToGrid w:val="0"/>
              <w:jc w:val="center"/>
              <w:rPr>
                <w:rFonts w:ascii="宋体"/>
              </w:rPr>
            </w:pPr>
            <w:r>
              <w:rPr>
                <w:rFonts w:hint="eastAsia" w:ascii="宋体" w:hAnsi="宋体"/>
              </w:rPr>
              <w:t>下企业实践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96" w:type="dxa"/>
            <w:vMerge w:val="continue"/>
            <w:vAlign w:val="center"/>
          </w:tcPr>
          <w:p>
            <w:pPr>
              <w:adjustRightInd w:val="0"/>
              <w:snapToGrid w:val="0"/>
              <w:jc w:val="center"/>
              <w:rPr>
                <w:rFonts w:ascii="宋体"/>
              </w:rPr>
            </w:pPr>
          </w:p>
        </w:tc>
        <w:tc>
          <w:tcPr>
            <w:tcW w:w="1078" w:type="dxa"/>
            <w:vMerge w:val="continue"/>
            <w:vAlign w:val="center"/>
          </w:tcPr>
          <w:p>
            <w:pPr>
              <w:adjustRightInd w:val="0"/>
              <w:snapToGrid w:val="0"/>
              <w:jc w:val="center"/>
              <w:rPr>
                <w:rFonts w:ascii="宋体"/>
              </w:rPr>
            </w:pPr>
          </w:p>
        </w:tc>
        <w:tc>
          <w:tcPr>
            <w:tcW w:w="1134" w:type="dxa"/>
            <w:vAlign w:val="center"/>
          </w:tcPr>
          <w:p>
            <w:pPr>
              <w:adjustRightInd w:val="0"/>
              <w:snapToGrid w:val="0"/>
              <w:jc w:val="center"/>
              <w:rPr>
                <w:rFonts w:ascii="宋体"/>
              </w:rPr>
            </w:pPr>
            <w:r>
              <w:rPr>
                <w:rFonts w:hint="eastAsia" w:ascii="宋体" w:hAnsi="宋体"/>
              </w:rPr>
              <w:t>国家级</w:t>
            </w:r>
          </w:p>
        </w:tc>
        <w:tc>
          <w:tcPr>
            <w:tcW w:w="851" w:type="dxa"/>
            <w:vAlign w:val="center"/>
          </w:tcPr>
          <w:p>
            <w:pPr>
              <w:adjustRightInd w:val="0"/>
              <w:snapToGrid w:val="0"/>
              <w:jc w:val="center"/>
              <w:rPr>
                <w:rFonts w:ascii="宋体"/>
              </w:rPr>
            </w:pPr>
            <w:r>
              <w:rPr>
                <w:rFonts w:hint="eastAsia" w:ascii="宋体" w:hAnsi="宋体"/>
              </w:rPr>
              <w:t>省级</w:t>
            </w:r>
          </w:p>
        </w:tc>
        <w:tc>
          <w:tcPr>
            <w:tcW w:w="1134" w:type="dxa"/>
            <w:vAlign w:val="center"/>
          </w:tcPr>
          <w:p>
            <w:pPr>
              <w:adjustRightInd w:val="0"/>
              <w:snapToGrid w:val="0"/>
              <w:jc w:val="center"/>
              <w:rPr>
                <w:rFonts w:ascii="宋体"/>
              </w:rPr>
            </w:pPr>
            <w:r>
              <w:rPr>
                <w:rFonts w:hint="eastAsia" w:ascii="宋体" w:hAnsi="宋体"/>
              </w:rPr>
              <w:t>市级</w:t>
            </w:r>
          </w:p>
        </w:tc>
        <w:tc>
          <w:tcPr>
            <w:tcW w:w="1559" w:type="dxa"/>
            <w:vMerge w:val="continue"/>
            <w:vAlign w:val="center"/>
          </w:tcPr>
          <w:p>
            <w:pPr>
              <w:adjustRightInd w:val="0"/>
              <w:snapToGrid w:val="0"/>
              <w:jc w:val="center"/>
              <w:rPr>
                <w:rFonts w:ascii="宋体"/>
              </w:rPr>
            </w:pPr>
          </w:p>
        </w:tc>
        <w:tc>
          <w:tcPr>
            <w:tcW w:w="1276" w:type="dxa"/>
            <w:vMerge w:val="continue"/>
            <w:vAlign w:val="center"/>
          </w:tcPr>
          <w:p>
            <w:pPr>
              <w:adjustRightInd w:val="0"/>
              <w:snapToGrid w:val="0"/>
              <w:jc w:val="center"/>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pPr>
              <w:adjustRightInd w:val="0"/>
              <w:snapToGrid w:val="0"/>
              <w:jc w:val="center"/>
              <w:rPr>
                <w:rFonts w:ascii="宋体"/>
              </w:rPr>
            </w:pPr>
            <w:r>
              <w:rPr>
                <w:rFonts w:ascii="宋体" w:hAnsi="宋体"/>
              </w:rPr>
              <w:t>201</w:t>
            </w:r>
            <w:r>
              <w:rPr>
                <w:rFonts w:hint="eastAsia" w:ascii="宋体" w:hAnsi="宋体"/>
              </w:rPr>
              <w:t>8</w:t>
            </w:r>
            <w:r>
              <w:rPr>
                <w:rFonts w:ascii="宋体" w:hAnsi="宋体"/>
              </w:rPr>
              <w:t>-20</w:t>
            </w:r>
            <w:r>
              <w:rPr>
                <w:rFonts w:hint="eastAsia" w:ascii="宋体" w:hAnsi="宋体"/>
              </w:rPr>
              <w:t>19学年</w:t>
            </w:r>
          </w:p>
        </w:tc>
        <w:tc>
          <w:tcPr>
            <w:tcW w:w="1078" w:type="dxa"/>
            <w:vAlign w:val="center"/>
          </w:tcPr>
          <w:p>
            <w:pPr>
              <w:adjustRightInd w:val="0"/>
              <w:snapToGrid w:val="0"/>
              <w:jc w:val="center"/>
              <w:rPr>
                <w:rFonts w:ascii="宋体"/>
              </w:rPr>
            </w:pPr>
            <w:r>
              <w:rPr>
                <w:rFonts w:ascii="宋体" w:hAnsi="宋体"/>
              </w:rPr>
              <w:t>6</w:t>
            </w:r>
            <w:r>
              <w:rPr>
                <w:rFonts w:hint="eastAsia" w:ascii="宋体" w:hAnsi="宋体"/>
              </w:rPr>
              <w:t>6</w:t>
            </w:r>
          </w:p>
        </w:tc>
        <w:tc>
          <w:tcPr>
            <w:tcW w:w="1134" w:type="dxa"/>
            <w:vAlign w:val="center"/>
          </w:tcPr>
          <w:p>
            <w:pPr>
              <w:adjustRightInd w:val="0"/>
              <w:snapToGrid w:val="0"/>
              <w:jc w:val="center"/>
              <w:rPr>
                <w:rFonts w:ascii="宋体"/>
              </w:rPr>
            </w:pPr>
            <w:r>
              <w:rPr>
                <w:rFonts w:ascii="宋体"/>
              </w:rPr>
              <w:t>0</w:t>
            </w:r>
          </w:p>
        </w:tc>
        <w:tc>
          <w:tcPr>
            <w:tcW w:w="851" w:type="dxa"/>
            <w:vAlign w:val="center"/>
          </w:tcPr>
          <w:p>
            <w:pPr>
              <w:adjustRightInd w:val="0"/>
              <w:snapToGrid w:val="0"/>
              <w:jc w:val="center"/>
              <w:rPr>
                <w:rFonts w:ascii="宋体"/>
              </w:rPr>
            </w:pPr>
            <w:r>
              <w:rPr>
                <w:rFonts w:hint="eastAsia" w:ascii="宋体"/>
              </w:rPr>
              <w:t>0</w:t>
            </w:r>
          </w:p>
        </w:tc>
        <w:tc>
          <w:tcPr>
            <w:tcW w:w="1134" w:type="dxa"/>
            <w:vAlign w:val="center"/>
          </w:tcPr>
          <w:p>
            <w:pPr>
              <w:adjustRightInd w:val="0"/>
              <w:snapToGrid w:val="0"/>
              <w:jc w:val="center"/>
              <w:rPr>
                <w:rFonts w:ascii="宋体"/>
              </w:rPr>
            </w:pPr>
            <w:r>
              <w:rPr>
                <w:rFonts w:hint="eastAsia" w:ascii="宋体"/>
              </w:rPr>
              <w:t>3</w:t>
            </w:r>
          </w:p>
        </w:tc>
        <w:tc>
          <w:tcPr>
            <w:tcW w:w="1559" w:type="dxa"/>
            <w:vAlign w:val="center"/>
          </w:tcPr>
          <w:p>
            <w:pPr>
              <w:adjustRightInd w:val="0"/>
              <w:snapToGrid w:val="0"/>
              <w:jc w:val="center"/>
              <w:rPr>
                <w:rFonts w:ascii="宋体"/>
              </w:rPr>
            </w:pPr>
            <w:r>
              <w:rPr>
                <w:rFonts w:hint="eastAsia" w:ascii="宋体" w:hAnsi="宋体"/>
              </w:rPr>
              <w:t>66</w:t>
            </w:r>
          </w:p>
        </w:tc>
        <w:tc>
          <w:tcPr>
            <w:tcW w:w="1276" w:type="dxa"/>
            <w:vAlign w:val="center"/>
          </w:tcPr>
          <w:p>
            <w:pPr>
              <w:adjustRightInd w:val="0"/>
              <w:snapToGrid w:val="0"/>
              <w:jc w:val="center"/>
              <w:rPr>
                <w:rFonts w:ascii="宋体"/>
              </w:rPr>
            </w:pPr>
            <w:r>
              <w:rPr>
                <w:rFonts w:ascii="宋体" w:hAnsi="宋体"/>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pPr>
              <w:adjustRightInd w:val="0"/>
              <w:snapToGrid w:val="0"/>
              <w:jc w:val="center"/>
              <w:rPr>
                <w:rFonts w:ascii="宋体"/>
              </w:rPr>
            </w:pPr>
            <w:r>
              <w:rPr>
                <w:rFonts w:ascii="宋体" w:hAnsi="宋体"/>
              </w:rPr>
              <w:t>20</w:t>
            </w:r>
            <w:r>
              <w:rPr>
                <w:rFonts w:hint="eastAsia" w:ascii="宋体" w:hAnsi="宋体"/>
              </w:rPr>
              <w:t>19</w:t>
            </w:r>
            <w:r>
              <w:rPr>
                <w:rFonts w:ascii="宋体" w:hAnsi="宋体"/>
              </w:rPr>
              <w:t>-20</w:t>
            </w:r>
            <w:r>
              <w:rPr>
                <w:rFonts w:hint="eastAsia" w:ascii="宋体" w:hAnsi="宋体"/>
              </w:rPr>
              <w:t>20学年</w:t>
            </w:r>
          </w:p>
        </w:tc>
        <w:tc>
          <w:tcPr>
            <w:tcW w:w="1078" w:type="dxa"/>
            <w:vAlign w:val="center"/>
          </w:tcPr>
          <w:p>
            <w:pPr>
              <w:adjustRightInd w:val="0"/>
              <w:snapToGrid w:val="0"/>
              <w:jc w:val="center"/>
              <w:rPr>
                <w:rFonts w:ascii="宋体"/>
              </w:rPr>
            </w:pPr>
            <w:r>
              <w:rPr>
                <w:rFonts w:ascii="宋体" w:hAnsi="宋体"/>
              </w:rPr>
              <w:t>6</w:t>
            </w:r>
            <w:r>
              <w:rPr>
                <w:rFonts w:hint="eastAsia" w:ascii="宋体" w:hAnsi="宋体"/>
              </w:rPr>
              <w:t>3</w:t>
            </w:r>
          </w:p>
        </w:tc>
        <w:tc>
          <w:tcPr>
            <w:tcW w:w="1134" w:type="dxa"/>
            <w:vAlign w:val="center"/>
          </w:tcPr>
          <w:p>
            <w:pPr>
              <w:adjustRightInd w:val="0"/>
              <w:snapToGrid w:val="0"/>
              <w:jc w:val="center"/>
              <w:rPr>
                <w:rFonts w:ascii="宋体"/>
              </w:rPr>
            </w:pPr>
            <w:r>
              <w:rPr>
                <w:rFonts w:hint="eastAsia" w:ascii="宋体"/>
              </w:rPr>
              <w:t>0</w:t>
            </w:r>
          </w:p>
        </w:tc>
        <w:tc>
          <w:tcPr>
            <w:tcW w:w="851" w:type="dxa"/>
            <w:vAlign w:val="center"/>
          </w:tcPr>
          <w:p>
            <w:pPr>
              <w:adjustRightInd w:val="0"/>
              <w:snapToGrid w:val="0"/>
              <w:jc w:val="center"/>
              <w:rPr>
                <w:rFonts w:ascii="宋体"/>
              </w:rPr>
            </w:pPr>
            <w:r>
              <w:rPr>
                <w:rFonts w:hint="eastAsia" w:ascii="宋体"/>
              </w:rPr>
              <w:t>0</w:t>
            </w:r>
          </w:p>
        </w:tc>
        <w:tc>
          <w:tcPr>
            <w:tcW w:w="1134" w:type="dxa"/>
            <w:vAlign w:val="center"/>
          </w:tcPr>
          <w:p>
            <w:pPr>
              <w:adjustRightInd w:val="0"/>
              <w:snapToGrid w:val="0"/>
              <w:jc w:val="center"/>
              <w:rPr>
                <w:rFonts w:ascii="宋体"/>
              </w:rPr>
            </w:pPr>
            <w:r>
              <w:rPr>
                <w:rFonts w:hint="eastAsia" w:ascii="宋体"/>
              </w:rPr>
              <w:t>0</w:t>
            </w:r>
          </w:p>
        </w:tc>
        <w:tc>
          <w:tcPr>
            <w:tcW w:w="1559" w:type="dxa"/>
            <w:vAlign w:val="center"/>
          </w:tcPr>
          <w:p>
            <w:pPr>
              <w:adjustRightInd w:val="0"/>
              <w:snapToGrid w:val="0"/>
              <w:jc w:val="center"/>
              <w:rPr>
                <w:rFonts w:ascii="宋体"/>
              </w:rPr>
            </w:pPr>
            <w:r>
              <w:rPr>
                <w:rFonts w:ascii="宋体" w:hAnsi="宋体"/>
              </w:rPr>
              <w:t>6</w:t>
            </w:r>
            <w:r>
              <w:rPr>
                <w:rFonts w:hint="eastAsia" w:ascii="宋体" w:hAnsi="宋体"/>
              </w:rPr>
              <w:t>3</w:t>
            </w:r>
          </w:p>
        </w:tc>
        <w:tc>
          <w:tcPr>
            <w:tcW w:w="1276" w:type="dxa"/>
            <w:vAlign w:val="center"/>
          </w:tcPr>
          <w:p>
            <w:pPr>
              <w:adjustRightInd w:val="0"/>
              <w:snapToGrid w:val="0"/>
              <w:jc w:val="center"/>
              <w:rPr>
                <w:rFonts w:ascii="宋体"/>
              </w:rPr>
            </w:pPr>
            <w:r>
              <w:rPr>
                <w:rFonts w:ascii="宋体" w:hAnsi="宋体"/>
              </w:rPr>
              <w:t>6</w:t>
            </w:r>
            <w:r>
              <w:rPr>
                <w:rFonts w:hint="eastAsia" w:ascii="宋体" w:hAnsi="宋体"/>
              </w:rPr>
              <w:t>3</w:t>
            </w:r>
          </w:p>
        </w:tc>
      </w:tr>
    </w:tbl>
    <w:p>
      <w:pPr>
        <w:spacing w:line="360" w:lineRule="auto"/>
        <w:ind w:firstLine="420" w:firstLineChars="200"/>
        <w:rPr>
          <w:rFonts w:ascii="宋体" w:cs="仿宋"/>
          <w:sz w:val="24"/>
        </w:rPr>
      </w:pPr>
      <w:r>
        <w:rPr>
          <w:rFonts w:hint="eastAsia" w:ascii="宋体"/>
        </w:rPr>
        <w:t>表</w:t>
      </w:r>
      <w:r>
        <w:rPr>
          <w:rFonts w:ascii="宋体"/>
        </w:rPr>
        <w:t>8</w:t>
      </w:r>
      <w:r>
        <w:rPr>
          <w:rFonts w:hint="eastAsia" w:ascii="宋体"/>
        </w:rPr>
        <w:t>数据来源：学校教务处统计提供</w:t>
      </w:r>
    </w:p>
    <w:p>
      <w:pPr>
        <w:spacing w:line="400" w:lineRule="exact"/>
        <w:ind w:firstLine="600" w:firstLineChars="250"/>
        <w:rPr>
          <w:rFonts w:ascii="宋体"/>
          <w:bCs/>
          <w:color w:val="FF0000"/>
          <w:sz w:val="24"/>
          <w:szCs w:val="24"/>
        </w:rPr>
      </w:pPr>
    </w:p>
    <w:p>
      <w:pPr>
        <w:spacing w:line="400" w:lineRule="exact"/>
        <w:jc w:val="center"/>
        <w:rPr>
          <w:rFonts w:ascii="宋体"/>
          <w:bCs/>
          <w:sz w:val="24"/>
          <w:szCs w:val="24"/>
        </w:rPr>
      </w:pPr>
      <w:r>
        <w:rPr>
          <w:rFonts w:hint="eastAsia" w:ascii="宋体" w:hAnsi="宋体"/>
          <w:bCs/>
          <w:sz w:val="24"/>
          <w:szCs w:val="24"/>
        </w:rPr>
        <w:t>表</w:t>
      </w:r>
      <w:r>
        <w:rPr>
          <w:rFonts w:ascii="宋体" w:hAnsi="宋体"/>
          <w:bCs/>
          <w:sz w:val="24"/>
          <w:szCs w:val="24"/>
        </w:rPr>
        <w:t>9</w:t>
      </w:r>
      <w:r>
        <w:rPr>
          <w:rFonts w:hint="eastAsia" w:ascii="宋体" w:hAnsi="宋体"/>
          <w:bCs/>
          <w:sz w:val="24"/>
          <w:szCs w:val="24"/>
        </w:rPr>
        <w:t>：教师参加各级各类比赛情况表</w:t>
      </w:r>
    </w:p>
    <w:tbl>
      <w:tblPr>
        <w:tblStyle w:val="7"/>
        <w:tblW w:w="8200" w:type="dxa"/>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1375"/>
        <w:gridCol w:w="1640"/>
        <w:gridCol w:w="1640"/>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905" w:type="dxa"/>
          </w:tcPr>
          <w:p>
            <w:pPr>
              <w:spacing w:line="400" w:lineRule="exact"/>
              <w:jc w:val="center"/>
              <w:rPr>
                <w:rFonts w:ascii="宋体"/>
              </w:rPr>
            </w:pPr>
            <w:r>
              <w:rPr>
                <w:rFonts w:hint="eastAsia" w:ascii="宋体" w:hAnsi="宋体"/>
              </w:rPr>
              <w:t>时间</w:t>
            </w:r>
          </w:p>
        </w:tc>
        <w:tc>
          <w:tcPr>
            <w:tcW w:w="1375" w:type="dxa"/>
          </w:tcPr>
          <w:p>
            <w:pPr>
              <w:spacing w:line="400" w:lineRule="exact"/>
              <w:jc w:val="center"/>
              <w:rPr>
                <w:rFonts w:ascii="宋体"/>
              </w:rPr>
            </w:pPr>
            <w:r>
              <w:rPr>
                <w:rFonts w:hint="eastAsia" w:ascii="宋体" w:hAnsi="宋体"/>
              </w:rPr>
              <w:t>总人次</w:t>
            </w:r>
          </w:p>
        </w:tc>
        <w:tc>
          <w:tcPr>
            <w:tcW w:w="1640" w:type="dxa"/>
          </w:tcPr>
          <w:p>
            <w:pPr>
              <w:spacing w:line="400" w:lineRule="exact"/>
              <w:jc w:val="center"/>
              <w:rPr>
                <w:rFonts w:ascii="宋体"/>
              </w:rPr>
            </w:pPr>
            <w:r>
              <w:rPr>
                <w:rFonts w:hint="eastAsia" w:ascii="宋体" w:hAnsi="宋体"/>
              </w:rPr>
              <w:t>省级</w:t>
            </w:r>
          </w:p>
        </w:tc>
        <w:tc>
          <w:tcPr>
            <w:tcW w:w="1640" w:type="dxa"/>
          </w:tcPr>
          <w:p>
            <w:pPr>
              <w:spacing w:line="400" w:lineRule="exact"/>
              <w:jc w:val="center"/>
              <w:rPr>
                <w:rFonts w:ascii="宋体"/>
              </w:rPr>
            </w:pPr>
            <w:r>
              <w:rPr>
                <w:rFonts w:hint="eastAsia" w:ascii="宋体" w:hAnsi="宋体"/>
              </w:rPr>
              <w:t>市级</w:t>
            </w:r>
          </w:p>
        </w:tc>
        <w:tc>
          <w:tcPr>
            <w:tcW w:w="1640" w:type="dxa"/>
          </w:tcPr>
          <w:p>
            <w:pPr>
              <w:spacing w:line="400" w:lineRule="exact"/>
              <w:jc w:val="center"/>
              <w:rPr>
                <w:rFonts w:ascii="宋体"/>
              </w:rPr>
            </w:pPr>
            <w:r>
              <w:rPr>
                <w:rFonts w:hint="eastAsia" w:ascii="宋体" w:hAnsi="宋体"/>
              </w:rPr>
              <w:t>区级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jc w:val="center"/>
              <w:rPr>
                <w:rFonts w:ascii="宋体"/>
              </w:rPr>
            </w:pPr>
            <w:r>
              <w:rPr>
                <w:rFonts w:ascii="宋体" w:hAnsi="宋体"/>
              </w:rPr>
              <w:t>201</w:t>
            </w:r>
            <w:r>
              <w:rPr>
                <w:rFonts w:hint="eastAsia" w:ascii="宋体" w:hAnsi="宋体"/>
              </w:rPr>
              <w:t>8</w:t>
            </w:r>
            <w:r>
              <w:rPr>
                <w:rFonts w:ascii="宋体" w:hAnsi="宋体"/>
              </w:rPr>
              <w:t>-201</w:t>
            </w:r>
            <w:r>
              <w:rPr>
                <w:rFonts w:hint="eastAsia" w:ascii="宋体" w:hAnsi="宋体"/>
              </w:rPr>
              <w:t>9学年</w:t>
            </w:r>
          </w:p>
        </w:tc>
        <w:tc>
          <w:tcPr>
            <w:tcW w:w="1375" w:type="dxa"/>
          </w:tcPr>
          <w:p>
            <w:pPr>
              <w:spacing w:line="400" w:lineRule="exact"/>
              <w:jc w:val="center"/>
              <w:rPr>
                <w:rFonts w:ascii="宋体"/>
              </w:rPr>
            </w:pPr>
            <w:r>
              <w:rPr>
                <w:rFonts w:hint="eastAsia" w:ascii="宋体"/>
              </w:rPr>
              <w:t>1</w:t>
            </w:r>
          </w:p>
        </w:tc>
        <w:tc>
          <w:tcPr>
            <w:tcW w:w="1640" w:type="dxa"/>
          </w:tcPr>
          <w:p>
            <w:pPr>
              <w:spacing w:line="400" w:lineRule="exact"/>
              <w:jc w:val="center"/>
              <w:rPr>
                <w:rFonts w:ascii="宋体"/>
              </w:rPr>
            </w:pPr>
            <w:r>
              <w:rPr>
                <w:rFonts w:ascii="宋体"/>
              </w:rPr>
              <w:t>0</w:t>
            </w:r>
          </w:p>
        </w:tc>
        <w:tc>
          <w:tcPr>
            <w:tcW w:w="1640" w:type="dxa"/>
          </w:tcPr>
          <w:p>
            <w:pPr>
              <w:spacing w:line="400" w:lineRule="exact"/>
              <w:jc w:val="center"/>
              <w:rPr>
                <w:rFonts w:ascii="宋体"/>
              </w:rPr>
            </w:pPr>
            <w:r>
              <w:rPr>
                <w:rFonts w:hint="eastAsia" w:ascii="宋体"/>
              </w:rPr>
              <w:t>1</w:t>
            </w:r>
          </w:p>
        </w:tc>
        <w:tc>
          <w:tcPr>
            <w:tcW w:w="1640" w:type="dxa"/>
          </w:tcPr>
          <w:p>
            <w:pPr>
              <w:spacing w:line="400" w:lineRule="exact"/>
              <w:jc w:val="center"/>
              <w:rPr>
                <w:rFonts w:ascii="宋体"/>
              </w:rPr>
            </w:pPr>
            <w:r>
              <w:rPr>
                <w:rFonts w:ascii="宋体"/>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jc w:val="center"/>
              <w:rPr>
                <w:rFonts w:ascii="宋体"/>
              </w:rPr>
            </w:pPr>
            <w:r>
              <w:rPr>
                <w:rFonts w:ascii="宋体" w:hAnsi="宋体"/>
              </w:rPr>
              <w:t>201</w:t>
            </w:r>
            <w:r>
              <w:rPr>
                <w:rFonts w:hint="eastAsia" w:ascii="宋体" w:hAnsi="宋体"/>
              </w:rPr>
              <w:t>9</w:t>
            </w:r>
            <w:r>
              <w:rPr>
                <w:rFonts w:ascii="宋体" w:hAnsi="宋体"/>
              </w:rPr>
              <w:t>-20</w:t>
            </w:r>
            <w:r>
              <w:rPr>
                <w:rFonts w:hint="eastAsia" w:ascii="宋体" w:hAnsi="宋体"/>
              </w:rPr>
              <w:t>20学年</w:t>
            </w:r>
          </w:p>
        </w:tc>
        <w:tc>
          <w:tcPr>
            <w:tcW w:w="1375" w:type="dxa"/>
          </w:tcPr>
          <w:p>
            <w:pPr>
              <w:spacing w:line="400" w:lineRule="exact"/>
              <w:jc w:val="center"/>
              <w:rPr>
                <w:rFonts w:ascii="宋体"/>
              </w:rPr>
            </w:pPr>
            <w:r>
              <w:rPr>
                <w:rFonts w:hint="eastAsia" w:ascii="宋体" w:hAnsi="宋体"/>
              </w:rPr>
              <w:t>0</w:t>
            </w:r>
          </w:p>
        </w:tc>
        <w:tc>
          <w:tcPr>
            <w:tcW w:w="1640" w:type="dxa"/>
          </w:tcPr>
          <w:p>
            <w:pPr>
              <w:spacing w:line="400" w:lineRule="exact"/>
              <w:jc w:val="center"/>
              <w:rPr>
                <w:rFonts w:ascii="宋体"/>
              </w:rPr>
            </w:pPr>
            <w:r>
              <w:rPr>
                <w:rFonts w:ascii="宋体"/>
              </w:rPr>
              <w:t>0</w:t>
            </w:r>
          </w:p>
        </w:tc>
        <w:tc>
          <w:tcPr>
            <w:tcW w:w="1640" w:type="dxa"/>
          </w:tcPr>
          <w:p>
            <w:pPr>
              <w:tabs>
                <w:tab w:val="left" w:pos="645"/>
                <w:tab w:val="center" w:pos="712"/>
              </w:tabs>
              <w:spacing w:line="400" w:lineRule="exact"/>
              <w:jc w:val="center"/>
              <w:rPr>
                <w:rFonts w:ascii="宋体"/>
              </w:rPr>
            </w:pPr>
            <w:r>
              <w:rPr>
                <w:rFonts w:hint="eastAsia" w:ascii="宋体" w:hAnsi="宋体"/>
              </w:rPr>
              <w:t>0</w:t>
            </w:r>
          </w:p>
        </w:tc>
        <w:tc>
          <w:tcPr>
            <w:tcW w:w="1640" w:type="dxa"/>
          </w:tcPr>
          <w:p>
            <w:pPr>
              <w:spacing w:line="400" w:lineRule="exact"/>
              <w:jc w:val="center"/>
              <w:rPr>
                <w:rFonts w:ascii="宋体"/>
              </w:rPr>
            </w:pPr>
            <w:r>
              <w:rPr>
                <w:rFonts w:ascii="宋体"/>
              </w:rPr>
              <w:t>0</w:t>
            </w:r>
          </w:p>
        </w:tc>
      </w:tr>
    </w:tbl>
    <w:p>
      <w:pPr>
        <w:ind w:firstLine="420" w:firstLineChars="200"/>
      </w:pPr>
      <w:r>
        <w:rPr>
          <w:rFonts w:hint="eastAsia" w:ascii="宋体"/>
        </w:rPr>
        <w:t>表</w:t>
      </w:r>
      <w:r>
        <w:rPr>
          <w:rFonts w:ascii="宋体"/>
        </w:rPr>
        <w:t>9</w:t>
      </w:r>
      <w:r>
        <w:rPr>
          <w:rFonts w:hint="eastAsia" w:ascii="宋体"/>
        </w:rPr>
        <w:t>数据来源：学校教务处统计提供</w:t>
      </w:r>
    </w:p>
    <w:p/>
    <w:p>
      <w:pPr>
        <w:spacing w:line="280" w:lineRule="exact"/>
        <w:rPr>
          <w:rFonts w:ascii="宋体"/>
          <w:b/>
          <w:sz w:val="24"/>
          <w:szCs w:val="24"/>
        </w:rPr>
      </w:pPr>
    </w:p>
    <w:p>
      <w:pPr>
        <w:spacing w:line="280" w:lineRule="exact"/>
        <w:ind w:firstLine="410" w:firstLineChars="146"/>
        <w:rPr>
          <w:rFonts w:ascii="宋体"/>
          <w:b/>
          <w:sz w:val="28"/>
          <w:szCs w:val="28"/>
        </w:rPr>
      </w:pPr>
      <w:r>
        <w:rPr>
          <w:rFonts w:ascii="宋体" w:hAnsi="宋体"/>
          <w:b/>
          <w:sz w:val="28"/>
          <w:szCs w:val="28"/>
        </w:rPr>
        <w:t>3.4</w:t>
      </w:r>
      <w:r>
        <w:rPr>
          <w:rFonts w:hint="eastAsia" w:ascii="宋体" w:hAnsi="宋体"/>
          <w:b/>
          <w:sz w:val="28"/>
          <w:szCs w:val="28"/>
        </w:rPr>
        <w:t>规范管理情况</w:t>
      </w:r>
    </w:p>
    <w:p>
      <w:pPr>
        <w:spacing w:line="400" w:lineRule="exact"/>
        <w:ind w:firstLine="470" w:firstLineChars="196"/>
        <w:rPr>
          <w:rFonts w:ascii="宋体" w:cs="楷体_GB2312"/>
          <w:bCs/>
          <w:sz w:val="24"/>
          <w:szCs w:val="24"/>
        </w:rPr>
      </w:pPr>
    </w:p>
    <w:p>
      <w:pPr>
        <w:spacing w:line="400" w:lineRule="exact"/>
        <w:ind w:firstLine="480" w:firstLineChars="200"/>
        <w:rPr>
          <w:rFonts w:ascii="宋体" w:cs="仿宋"/>
          <w:sz w:val="24"/>
          <w:szCs w:val="24"/>
        </w:rPr>
      </w:pPr>
      <w:r>
        <w:rPr>
          <w:rFonts w:hint="eastAsia" w:ascii="宋体" w:hAnsi="宋体" w:cs="仿宋"/>
          <w:sz w:val="24"/>
          <w:szCs w:val="24"/>
        </w:rPr>
        <w:t>加强依法治校，制定和完善学校章程，以章程建设为核心，实行“一校一策”目标管理，完善学校内部管理，建立健全管理有序、标准严谨、流程清晰、监督有据的学校内部管理制度体系。提高全校师生的法律素养，建立健全教职工代表大会制度，大力推行校务公开、民主管理，切实落实依法治校制度。</w:t>
      </w:r>
    </w:p>
    <w:p>
      <w:pPr>
        <w:spacing w:line="400" w:lineRule="exact"/>
        <w:ind w:firstLine="480" w:firstLineChars="200"/>
        <w:rPr>
          <w:rFonts w:hint="eastAsia" w:ascii="宋体" w:hAnsi="宋体" w:cs="楷体_GB2312"/>
          <w:bCs/>
          <w:sz w:val="24"/>
          <w:szCs w:val="24"/>
        </w:rPr>
      </w:pPr>
      <w:r>
        <w:rPr>
          <w:rFonts w:hint="eastAsia" w:ascii="宋体" w:hAnsi="宋体" w:cs="仿宋"/>
          <w:sz w:val="24"/>
          <w:szCs w:val="24"/>
        </w:rPr>
        <w:t>学校加强教学常规管理，明确教学岗位职责，细化教学管理条例。以《福州市中职学校教学诊断与督导工作实施方案》为指导，落实学校教育教学督查工作制度，加强对教学工作、班级6S管理及实训设备的监控力度，建立了《闽侯县美术中等职业学校教育教学督查制度》，使教育教学管理监控工作经常化、制度化和科学化，从而促进我校教育教学管理水平的提高。</w:t>
      </w:r>
      <w:r>
        <w:rPr>
          <w:rFonts w:hint="eastAsia" w:ascii="宋体" w:hAnsi="宋体" w:cs="楷体_GB2312"/>
          <w:bCs/>
          <w:sz w:val="24"/>
          <w:szCs w:val="24"/>
        </w:rPr>
        <w:t>教务处出台进一步加强常规管理的措施，每天上下午有专门行政人员、值班教师负责巡课，及时纠正师生不良行为，做好巡课记录登记，及时在教师会议上反馈。进一步完善教师教学常规量化考核标准，使教师日常教学与教师年度考核挂钩，提高教师遵守常规管理的自觉度。设立学生教育教学奖、教师优秀指导奖、教学成果进步奖等业绩奖励，做到奖罚分明。进一步深化教学改革，努力提高教学的实效性。改革教学评价制度，改半期考为技能展示活动，探索形式多样，符合职教特点的评价方式，激活学生兴趣，强化技能技巧。</w:t>
      </w:r>
      <w:r>
        <w:rPr>
          <w:rFonts w:hint="eastAsia" w:ascii="宋体" w:hAnsi="宋体"/>
          <w:bCs/>
          <w:sz w:val="24"/>
          <w:szCs w:val="24"/>
        </w:rPr>
        <w:t>实施“做中教，做中学”开展“四课一评”、积极参加高新区研训中心开展的各项活动，</w:t>
      </w:r>
      <w:r>
        <w:rPr>
          <w:rFonts w:hint="eastAsia" w:ascii="宋体" w:hAnsi="宋体" w:cs="楷体_GB2312"/>
          <w:bCs/>
          <w:sz w:val="24"/>
          <w:szCs w:val="24"/>
        </w:rPr>
        <w:t>每年召开年度教学研讨会，以</w:t>
      </w:r>
      <w:r>
        <w:rPr>
          <w:rFonts w:hint="eastAsia" w:ascii="宋体" w:hAnsi="宋体"/>
          <w:bCs/>
          <w:sz w:val="24"/>
          <w:szCs w:val="24"/>
        </w:rPr>
        <w:t>“</w:t>
      </w:r>
      <w:r>
        <w:rPr>
          <w:rFonts w:hint="eastAsia" w:ascii="宋体" w:hAnsi="宋体" w:cs="楷体_GB2312"/>
          <w:bCs/>
          <w:sz w:val="24"/>
          <w:szCs w:val="24"/>
        </w:rPr>
        <w:t>向教学常规管理要效益</w:t>
      </w:r>
      <w:r>
        <w:rPr>
          <w:rFonts w:hint="eastAsia" w:ascii="宋体" w:hAnsi="宋体"/>
          <w:bCs/>
          <w:sz w:val="24"/>
          <w:szCs w:val="24"/>
        </w:rPr>
        <w:t>”</w:t>
      </w:r>
      <w:r>
        <w:rPr>
          <w:rFonts w:hint="eastAsia" w:ascii="宋体" w:hAnsi="宋体" w:cs="楷体_GB2312"/>
          <w:bCs/>
          <w:sz w:val="24"/>
          <w:szCs w:val="24"/>
        </w:rPr>
        <w:t>为主题研讨，提出有效管理，有效教学，有效学习的好经验、好办法。</w:t>
      </w:r>
    </w:p>
    <w:p>
      <w:pPr>
        <w:spacing w:line="400" w:lineRule="exact"/>
        <w:ind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在教师继续教育方面。学校开展本年度的校本培训工作指导思想是紧密结合学校办学目标及教师教育教学的实际需要，按照理论和实际相结合的原则，在教师职业道德修养、现代教育教学理论、课堂教学方法及科研课题探讨等方面组织开展形式多样、富有成效的各项培训活动，以提升教师的师德品位，促进教师专业化发展，努力营造教师终身教育和可持续发展的良好格局。如：聘请校内、外培训指导教师进行各类专题讲座4场，提前和圆满完成了本年度继续教育工作(人社局公需科目培训、校本培训、网络培训)培训。</w:t>
      </w:r>
    </w:p>
    <w:p>
      <w:pPr>
        <w:pStyle w:val="6"/>
        <w:spacing w:line="400" w:lineRule="exact"/>
        <w:ind w:firstLine="480" w:firstLineChars="200"/>
        <w:jc w:val="both"/>
        <w:rPr>
          <w:bCs/>
        </w:rPr>
      </w:pPr>
      <w:r>
        <w:rPr>
          <w:rFonts w:hint="eastAsia"/>
        </w:rPr>
        <w:t>在学生管理方面。学校继续实施《德育“</w:t>
      </w:r>
      <w:r>
        <w:t>6S</w:t>
      </w:r>
      <w:r>
        <w:rPr>
          <w:rFonts w:hint="eastAsia"/>
        </w:rPr>
        <w:t>”精细化管理的实施方案》，以加强对学生的日常行为的管理和约束。充分发挥了学生干部的作用，对早读、晚自习、寝室和上课纪律进行常规管理及检查考核。</w:t>
      </w:r>
      <w:r>
        <w:rPr>
          <w:rFonts w:hint="eastAsia" w:cs="仿宋"/>
        </w:rPr>
        <w:t>完善德育管理机制。建立学生管理、班主任工作的考核机制，完善学生学籍电子信息化管理系统。依据德育课程，结合社团建设、文体活动、校园文化建设等德育引导机制，不断提高德育实效，取得了良好的德育效果。</w:t>
      </w:r>
      <w:r>
        <w:rPr>
          <w:rFonts w:hint="eastAsia"/>
        </w:rPr>
        <w:t>另外，多种途径和方法做好思想教育工作、抓好迎新、入学教育和军训工作，抓住教育契机，开展主题教育活动，开展丰富多彩的志愿者活动和校园文化活动。</w:t>
      </w:r>
    </w:p>
    <w:p>
      <w:pPr>
        <w:spacing w:line="400" w:lineRule="exact"/>
        <w:ind w:firstLine="480" w:firstLineChars="200"/>
        <w:rPr>
          <w:rFonts w:cs="仿宋_GB2312" w:asciiTheme="minorEastAsia" w:hAnsiTheme="minorEastAsia" w:eastAsiaTheme="minorEastAsia"/>
          <w:sz w:val="24"/>
          <w:szCs w:val="24"/>
        </w:rPr>
      </w:pPr>
      <w:r>
        <w:rPr>
          <w:rFonts w:hint="eastAsia" w:ascii="宋体"/>
          <w:sz w:val="24"/>
          <w:szCs w:val="24"/>
        </w:rPr>
        <w:t>在</w:t>
      </w:r>
      <w:r>
        <w:rPr>
          <w:rFonts w:hint="eastAsia" w:ascii="宋体" w:hAnsi="宋体" w:cs="仿宋"/>
          <w:sz w:val="24"/>
        </w:rPr>
        <w:t>财务和后勤管理。</w:t>
      </w:r>
      <w:r>
        <w:rPr>
          <w:rFonts w:hint="eastAsia" w:cs="仿宋_GB2312" w:asciiTheme="minorEastAsia" w:hAnsiTheme="minorEastAsia" w:eastAsiaTheme="minorEastAsia"/>
          <w:sz w:val="24"/>
          <w:szCs w:val="24"/>
        </w:rPr>
        <w:t>1.收费方面。学校严格按照国家的“一费制”标准收费,不超收、不多收。根据国家有关助学政策规定,2020年共发放助学金约55600元。2.加强后勤管理方面。这一年来，学校通过投标引进餐饮公司，使食堂管理和服务进一步的规范化和标准化。学校不定期对食堂的管理工作、环境卫生、食品卫生进行检查,发现问题及时整改，确保后勤服务到位，达到服务育人的目的。学校还不定期地对寝室、教室、清洁区净化美化大检查，使得学校的环境卫生状况有了明显的好转，但是学生爱护环境的教育还要真抓实干，要切实遏制学生乱丢垃圾的不良习惯，加强和落实学生爱护公物的行为教育,从根本上改变学校卫生状况。</w:t>
      </w:r>
    </w:p>
    <w:p>
      <w:pPr>
        <w:spacing w:line="400" w:lineRule="exact"/>
        <w:ind w:firstLine="480" w:firstLineChars="200"/>
        <w:rPr>
          <w:rFonts w:hint="eastAsia" w:ascii="仿宋_GB2312" w:hAnsi="仿宋_GB2312" w:eastAsia="仿宋_GB2312" w:cs="仿宋_GB2312"/>
          <w:sz w:val="32"/>
          <w:szCs w:val="32"/>
        </w:rPr>
      </w:pPr>
      <w:r>
        <w:rPr>
          <w:rFonts w:hint="eastAsia" w:ascii="宋体" w:hAnsi="宋体"/>
          <w:sz w:val="24"/>
          <w:szCs w:val="24"/>
        </w:rPr>
        <w:t>在安全管理方面。</w:t>
      </w:r>
      <w:r>
        <w:rPr>
          <w:rFonts w:hint="eastAsia" w:cs="仿宋_GB2312" w:asciiTheme="minorEastAsia" w:hAnsiTheme="minorEastAsia" w:eastAsiaTheme="minorEastAsia"/>
          <w:sz w:val="24"/>
          <w:szCs w:val="24"/>
        </w:rPr>
        <w:t>（一）切实做好学校门口及校园安保工作。1、每天由学校带班领导、行政、教师、保安组成值班队伍，落实巡校巡查制度，实行安全责任到人，规范了学生请假制度、保安值班巡校制度，维护了学校正常教学秩序,保障了我校师生的安全。但是，我们还要清醒看到校门口及周边还存在着交通等安全隐患，还应加强安全管理。2、学校与福州市高新区旗都保安公司签订协议，每逢周末及节假日学生放学回家时，旗都保安公司都派出治安巡逻车在学校门口附近巡逻，确保师生出行安全和周边治安环境稳定和安全。（二）保卫科认真开展了安全常规工作。认真开展常规安全教育活动，利用国旗下讲话、学生集会、班会课、学校广播、黑板报、宣传栏等宣传工具不断宣传安全知识，不断对学生进行了每天5分钟防溺水、防台风等自然灾害、交通安全、饮食卫生、预防传染病等安全教育；组织师生灭火演练和各种安全逃生演练；认真开展了安全教育日（周）、安全生产月、综治宣传月、交通安全百日行动、消防宣传月等专项活动；在开学初及期末，校行政都要对学校各部位进行拉网式检查，发现问题及时整改。通过不断普及安全知识，提高学生安全意识和防范能力，让安全意识深入人心。</w:t>
      </w:r>
    </w:p>
    <w:p>
      <w:pPr>
        <w:spacing w:line="400" w:lineRule="exact"/>
        <w:ind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在抗击新冠肺炎疫情方面。成立疫情防控工作领导小组，制定疫情防控应急预案，开学及疫情防控工作方案，多次召开疫情防控工作部署会，及时传达并贯彻执行上级疫情防控政策精神，严格落实疫情防控</w:t>
      </w:r>
      <w:r>
        <w:fldChar w:fldCharType="begin"/>
      </w:r>
      <w:r>
        <w:instrText xml:space="preserve"> HYPERLINK "https://www.xuexila.com/fanwen/cuoshi/" \t "_blank" </w:instrText>
      </w:r>
      <w:r>
        <w:fldChar w:fldCharType="separate"/>
      </w:r>
      <w:r>
        <w:rPr>
          <w:rStyle w:val="10"/>
          <w:rFonts w:hint="eastAsia" w:cs="仿宋_GB2312" w:asciiTheme="minorEastAsia" w:hAnsiTheme="minorEastAsia" w:eastAsiaTheme="minorEastAsia"/>
          <w:color w:val="auto"/>
          <w:sz w:val="24"/>
          <w:szCs w:val="24"/>
        </w:rPr>
        <w:t>措施</w:t>
      </w:r>
      <w:r>
        <w:rPr>
          <w:rStyle w:val="10"/>
          <w:rFonts w:hint="eastAsia" w:cs="仿宋_GB2312" w:asciiTheme="minorEastAsia" w:hAnsiTheme="minorEastAsia" w:eastAsiaTheme="minorEastAsia"/>
          <w:color w:val="auto"/>
          <w:sz w:val="24"/>
          <w:szCs w:val="24"/>
        </w:rPr>
        <w:fldChar w:fldCharType="end"/>
      </w:r>
      <w:r>
        <w:rPr>
          <w:rFonts w:hint="eastAsia" w:cs="仿宋_GB2312" w:asciiTheme="minorEastAsia" w:hAnsiTheme="minorEastAsia" w:eastAsiaTheme="minorEastAsia"/>
          <w:sz w:val="24"/>
          <w:szCs w:val="24"/>
        </w:rPr>
        <w:t>，确保本校开学工作安全有序。坚持“日</w:t>
      </w:r>
      <w:r>
        <w:fldChar w:fldCharType="begin"/>
      </w:r>
      <w:r>
        <w:instrText xml:space="preserve"> HYPERLINK "https://www.xuexila.com/fanwen/baogao/" \t "_blank" </w:instrText>
      </w:r>
      <w:r>
        <w:fldChar w:fldCharType="separate"/>
      </w:r>
      <w:r>
        <w:rPr>
          <w:rStyle w:val="10"/>
          <w:rFonts w:hint="eastAsia" w:cs="仿宋_GB2312" w:asciiTheme="minorEastAsia" w:hAnsiTheme="minorEastAsia" w:eastAsiaTheme="minorEastAsia"/>
          <w:color w:val="auto"/>
          <w:sz w:val="24"/>
          <w:szCs w:val="24"/>
        </w:rPr>
        <w:t>报告</w:t>
      </w:r>
      <w:r>
        <w:rPr>
          <w:rStyle w:val="10"/>
          <w:rFonts w:hint="eastAsia" w:cs="仿宋_GB2312" w:asciiTheme="minorEastAsia" w:hAnsiTheme="minorEastAsia" w:eastAsiaTheme="minorEastAsia"/>
          <w:color w:val="auto"/>
          <w:sz w:val="24"/>
          <w:szCs w:val="24"/>
        </w:rPr>
        <w:fldChar w:fldCharType="end"/>
      </w:r>
      <w:r>
        <w:rPr>
          <w:rFonts w:hint="eastAsia" w:cs="仿宋_GB2312" w:asciiTheme="minorEastAsia" w:hAnsiTheme="minorEastAsia" w:eastAsiaTheme="minorEastAsia"/>
          <w:sz w:val="24"/>
          <w:szCs w:val="24"/>
        </w:rPr>
        <w:t>”和“零报告”，全面掌握师生健康状况，做到全覆盖、无遗漏。通过学校</w:t>
      </w:r>
      <w:r>
        <w:fldChar w:fldCharType="begin"/>
      </w:r>
      <w:r>
        <w:instrText xml:space="preserve"> HYPERLINK "https://www.xuexila.com/diannao/weixin/" \t "_blank" </w:instrText>
      </w:r>
      <w:r>
        <w:fldChar w:fldCharType="separate"/>
      </w:r>
      <w:r>
        <w:rPr>
          <w:rStyle w:val="10"/>
          <w:rFonts w:hint="eastAsia" w:cs="仿宋_GB2312" w:asciiTheme="minorEastAsia" w:hAnsiTheme="minorEastAsia" w:eastAsiaTheme="minorEastAsia"/>
          <w:color w:val="auto"/>
          <w:sz w:val="24"/>
          <w:szCs w:val="24"/>
        </w:rPr>
        <w:t>微信</w:t>
      </w:r>
      <w:r>
        <w:rPr>
          <w:rStyle w:val="10"/>
          <w:rFonts w:hint="eastAsia" w:cs="仿宋_GB2312" w:asciiTheme="minorEastAsia" w:hAnsiTheme="minorEastAsia" w:eastAsiaTheme="minorEastAsia"/>
          <w:color w:val="auto"/>
          <w:sz w:val="24"/>
          <w:szCs w:val="24"/>
        </w:rPr>
        <w:fldChar w:fldCharType="end"/>
      </w:r>
      <w:r>
        <w:rPr>
          <w:rFonts w:hint="eastAsia" w:cs="仿宋_GB2312" w:asciiTheme="minorEastAsia" w:hAnsiTheme="minorEastAsia" w:eastAsiaTheme="minorEastAsia"/>
          <w:sz w:val="24"/>
          <w:szCs w:val="24"/>
        </w:rPr>
        <w:t>工作群、家长群、班级QQ群等，将科普知识、上级政策精神、各项措施及时传达到每位师生家长，营造浓厚的防疫氛围。对教学楼、宿舍楼、办公楼、训练场馆、食堂等重点区域进行消毒，做到无死角、全覆盖。做好疫情防控资金的保障工作，确保应急药品、防护用品资金及时到位。严格开展进入校园人员体温检测工作，并建台帐，严禁外来人员、车辆入校，杜绝</w:t>
      </w:r>
      <w:r>
        <w:fldChar w:fldCharType="begin"/>
      </w:r>
      <w:r>
        <w:instrText xml:space="preserve"> HYPERLINK "https://www.xuexila.com/yangsheng/chuanranke/" \t "_blank" </w:instrText>
      </w:r>
      <w:r>
        <w:fldChar w:fldCharType="separate"/>
      </w:r>
      <w:r>
        <w:rPr>
          <w:rStyle w:val="10"/>
          <w:rFonts w:hint="eastAsia" w:cs="仿宋_GB2312" w:asciiTheme="minorEastAsia" w:hAnsiTheme="minorEastAsia" w:eastAsiaTheme="minorEastAsia"/>
          <w:color w:val="auto"/>
          <w:sz w:val="24"/>
          <w:szCs w:val="24"/>
        </w:rPr>
        <w:t>传染</w:t>
      </w:r>
      <w:r>
        <w:rPr>
          <w:rStyle w:val="10"/>
          <w:rFonts w:hint="eastAsia" w:cs="仿宋_GB2312" w:asciiTheme="minorEastAsia" w:hAnsiTheme="minorEastAsia" w:eastAsiaTheme="minorEastAsia"/>
          <w:color w:val="auto"/>
          <w:sz w:val="24"/>
          <w:szCs w:val="24"/>
        </w:rPr>
        <w:fldChar w:fldCharType="end"/>
      </w:r>
      <w:r>
        <w:rPr>
          <w:rFonts w:hint="eastAsia" w:cs="仿宋_GB2312" w:asciiTheme="minorEastAsia" w:hAnsiTheme="minorEastAsia" w:eastAsiaTheme="minorEastAsia"/>
          <w:sz w:val="24"/>
          <w:szCs w:val="24"/>
        </w:rPr>
        <w:t>源进入校园，真正做到“外防输入，内防扩散”。疫情面前显担当，把防控疫情工作作为当前重大的政治任务，认真履职尽责，群策群力，必将赢得这场疫情防控阻击战的最终胜利。</w:t>
      </w:r>
    </w:p>
    <w:p>
      <w:pPr>
        <w:autoSpaceDE w:val="0"/>
        <w:autoSpaceDN w:val="0"/>
        <w:adjustRightInd w:val="0"/>
        <w:spacing w:line="400" w:lineRule="exact"/>
        <w:ind w:firstLine="480" w:firstLineChars="200"/>
        <w:rPr>
          <w:rFonts w:ascii="宋体"/>
          <w:spacing w:val="24"/>
          <w:sz w:val="24"/>
          <w:szCs w:val="24"/>
        </w:rPr>
      </w:pPr>
      <w:r>
        <w:rPr>
          <w:rFonts w:hint="eastAsia" w:ascii="宋体"/>
          <w:sz w:val="24"/>
          <w:szCs w:val="24"/>
        </w:rPr>
        <w:t>在管理信息化水平方面。</w:t>
      </w:r>
      <w:r>
        <w:rPr>
          <w:rFonts w:ascii="宋体" w:hAnsi="宋体"/>
          <w:sz w:val="24"/>
          <w:szCs w:val="24"/>
        </w:rPr>
        <w:t>20</w:t>
      </w:r>
      <w:r>
        <w:rPr>
          <w:rFonts w:hint="eastAsia" w:ascii="宋体" w:hAnsi="宋体"/>
          <w:sz w:val="24"/>
          <w:szCs w:val="24"/>
        </w:rPr>
        <w:t>20下半年学校正在申请20万元购买网络2.0培训系统，对全体教师进行信息化培训。台、学生专业计算机</w:t>
      </w:r>
      <w:r>
        <w:rPr>
          <w:rFonts w:ascii="宋体" w:hAnsi="宋体"/>
          <w:sz w:val="24"/>
          <w:szCs w:val="24"/>
        </w:rPr>
        <w:t>200</w:t>
      </w:r>
      <w:r>
        <w:rPr>
          <w:rFonts w:hint="eastAsia" w:ascii="宋体" w:hAnsi="宋体"/>
          <w:sz w:val="24"/>
          <w:szCs w:val="24"/>
        </w:rPr>
        <w:t>台），安排多媒体教室</w:t>
      </w:r>
      <w:r>
        <w:rPr>
          <w:rFonts w:ascii="宋体" w:hAnsi="宋体"/>
          <w:sz w:val="24"/>
          <w:szCs w:val="24"/>
        </w:rPr>
        <w:t>5</w:t>
      </w:r>
      <w:r>
        <w:rPr>
          <w:rFonts w:ascii="宋体"/>
          <w:spacing w:val="24"/>
          <w:sz w:val="24"/>
          <w:szCs w:val="24"/>
        </w:rPr>
        <w:t xml:space="preserve"> </w:t>
      </w:r>
    </w:p>
    <w:p>
      <w:pPr>
        <w:spacing w:line="400" w:lineRule="exact"/>
        <w:ind w:firstLine="480" w:firstLineChars="200"/>
        <w:rPr>
          <w:rFonts w:cs="仿宋" w:asciiTheme="minorEastAsia" w:hAnsiTheme="minorEastAsia" w:eastAsiaTheme="minorEastAsia"/>
          <w:sz w:val="24"/>
          <w:szCs w:val="24"/>
        </w:rPr>
      </w:pPr>
      <w:r>
        <w:rPr>
          <w:rFonts w:hint="eastAsia" w:ascii="宋体"/>
          <w:sz w:val="24"/>
          <w:szCs w:val="24"/>
        </w:rPr>
        <w:t>在</w:t>
      </w:r>
      <w:r>
        <w:rPr>
          <w:rFonts w:ascii="宋体"/>
          <w:sz w:val="24"/>
          <w:szCs w:val="24"/>
        </w:rPr>
        <w:t>20</w:t>
      </w:r>
      <w:r>
        <w:rPr>
          <w:rFonts w:hint="eastAsia" w:ascii="宋体"/>
          <w:sz w:val="24"/>
          <w:szCs w:val="24"/>
        </w:rPr>
        <w:t>19</w:t>
      </w:r>
      <w:r>
        <w:rPr>
          <w:rFonts w:ascii="宋体"/>
          <w:sz w:val="24"/>
          <w:szCs w:val="24"/>
        </w:rPr>
        <w:t>-20</w:t>
      </w:r>
      <w:r>
        <w:rPr>
          <w:rFonts w:hint="eastAsia" w:ascii="宋体"/>
          <w:sz w:val="24"/>
          <w:szCs w:val="24"/>
        </w:rPr>
        <w:t>20学年各级各类比赛中，</w:t>
      </w:r>
      <w:r>
        <w:rPr>
          <w:rFonts w:hint="eastAsia" w:cs="仿宋_GB2312" w:asciiTheme="minorEastAsia" w:hAnsiTheme="minorEastAsia" w:eastAsiaTheme="minorEastAsia"/>
          <w:sz w:val="24"/>
          <w:szCs w:val="24"/>
        </w:rPr>
        <w:t>学校男子篮球队参加福建省第十六届篮球赛获男子组三等奖，运动队参加福州高新区第七届中小学生田径运动会获高中组团体总分第一名；教师获市级专业比赛三等奖1人；教师荣获市级指导教师奖一等奖1人，三等奖3人；区级指导教师二等奖1人，三等奖3人；学生在市级征文、数学综合能力竞赛、第十五届中职生技能竞赛等荣获一等奖1人，三等奖3人；区级各类比赛获二等奖1人；三等奖3人。</w:t>
      </w:r>
    </w:p>
    <w:p>
      <w:pPr>
        <w:spacing w:line="400" w:lineRule="exact"/>
        <w:ind w:firstLine="410" w:firstLineChars="146"/>
        <w:rPr>
          <w:rFonts w:hint="eastAsia" w:ascii="宋体" w:hAnsi="宋体"/>
          <w:b/>
          <w:sz w:val="28"/>
          <w:szCs w:val="28"/>
        </w:rPr>
      </w:pPr>
    </w:p>
    <w:p>
      <w:pPr>
        <w:spacing w:line="400" w:lineRule="exact"/>
        <w:ind w:firstLine="410" w:firstLineChars="146"/>
        <w:rPr>
          <w:rFonts w:hint="eastAsia" w:ascii="宋体" w:hAnsi="宋体"/>
          <w:b/>
          <w:sz w:val="28"/>
          <w:szCs w:val="28"/>
        </w:rPr>
      </w:pPr>
    </w:p>
    <w:p>
      <w:pPr>
        <w:spacing w:line="400" w:lineRule="exact"/>
        <w:ind w:firstLine="410" w:firstLineChars="146"/>
        <w:rPr>
          <w:rFonts w:ascii="宋体"/>
          <w:b/>
          <w:sz w:val="28"/>
          <w:szCs w:val="28"/>
        </w:rPr>
      </w:pPr>
      <w:r>
        <w:rPr>
          <w:rFonts w:ascii="宋体" w:hAnsi="宋体"/>
          <w:b/>
          <w:sz w:val="28"/>
          <w:szCs w:val="28"/>
        </w:rPr>
        <w:t xml:space="preserve">3.5 </w:t>
      </w:r>
      <w:r>
        <w:rPr>
          <w:rFonts w:hint="eastAsia" w:ascii="宋体" w:hAnsi="宋体"/>
          <w:b/>
          <w:sz w:val="28"/>
          <w:szCs w:val="28"/>
        </w:rPr>
        <w:t>德育工作情况</w:t>
      </w:r>
    </w:p>
    <w:p>
      <w:pPr>
        <w:spacing w:line="400" w:lineRule="exact"/>
        <w:ind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1.继续深化德育“6S”精细化管理。</w:t>
      </w:r>
    </w:p>
    <w:p>
      <w:pPr>
        <w:spacing w:line="400" w:lineRule="exact"/>
        <w:ind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深化“6S”管理制度，学校结合中职生生活、学习、等行为习惯较差的特点，狠抓学生的养成和常规教育，努力使学生的行为规范外化为行为、内化为素质，完善了各项评比制度，为学生创造一个干净、整洁、舒适、有序、安全、稳定的学习环境和生活环境，使学校学生管理工作制度化、规范化，更适应职业学校学生的特点，提升校园文化建设层次。</w:t>
      </w:r>
    </w:p>
    <w:p>
      <w:pPr>
        <w:spacing w:line="400" w:lineRule="exact"/>
        <w:ind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2.开展突出职教特色的德育常规教育活动。</w:t>
      </w:r>
    </w:p>
    <w:p>
      <w:pPr>
        <w:spacing w:line="400" w:lineRule="exact"/>
        <w:ind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根据每月的德育工作主题深入细致地抓好落实工作，探究切实可行的评价机制，确保德育教育上下贯通，扎实有效。加强法制教育，确保在校学生违法犯罪率为零。学习贯彻党的十九大和十九届二中、三中、四中全会精神以及全国教育大会精神，认真落实习近平总书记关于宪法学习宣传教育的系列重要指示精神，集中深入学习宣传宪法，弘扬宪法精神，维护宪法权威。加强毒品预防、艾滋病预防、防疫安全教育活动工作，确保无重大安全责任事故发生。遵循学生身心发展规律，开展贴近时代、贴近生活、贴近学生实际的丰富多彩活动(经典诵读、书香校园、传承传统节日弘扬爱国主义精神等），增强德育工作的吸引力和感染力，引导广大中小学生快乐学习，健康成长。</w:t>
      </w:r>
    </w:p>
    <w:p>
      <w:pPr>
        <w:spacing w:line="400" w:lineRule="exact"/>
        <w:ind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3.加强德育队伍建设。</w:t>
      </w:r>
    </w:p>
    <w:p>
      <w:pPr>
        <w:spacing w:line="400" w:lineRule="exact"/>
        <w:ind w:firstLine="480" w:firstLineChars="200"/>
        <w:rPr>
          <w:rFonts w:hint="eastAsia" w:cs="仿宋_GB2312" w:asciiTheme="minorEastAsia" w:hAnsiTheme="minorEastAsia" w:eastAsiaTheme="minorEastAsia"/>
          <w:sz w:val="24"/>
          <w:szCs w:val="24"/>
        </w:rPr>
      </w:pPr>
      <w:r>
        <w:rPr>
          <w:rFonts w:hint="eastAsia" w:cs="仿宋_GB2312" w:asciiTheme="minorEastAsia" w:hAnsiTheme="minorEastAsia" w:eastAsiaTheme="minorEastAsia"/>
          <w:sz w:val="24"/>
          <w:szCs w:val="24"/>
        </w:rPr>
        <w:t>不断完善学校德育管理网络，德育处全体人员做到分工明确，工作到人，责任到点，尽心尽职做好每一项工作，倡导奉献精神；讲究工作方法，注重工作实效；加强理论学习，维护学生权益；确立服务意识，创造性地开展各项工作。加强对团委、学生会的指导和协调工作，使之在学校社团建设、校园文化建设、学校大型活动、学生思想道德引领和学生行为规范养成等方面发挥更大的作用。加强班主任队伍建设，加强班主任的政治理论学习和业务理论学习，强化班主任的岗位职责，要求班主任养成严细实的工作作风，及时完成学校下达的各项任务，科学评价和量化班主任工作。</w:t>
      </w:r>
    </w:p>
    <w:p>
      <w:pPr>
        <w:spacing w:line="400" w:lineRule="exact"/>
        <w:ind w:firstLine="480" w:firstLineChars="200"/>
        <w:rPr>
          <w:rFonts w:ascii="宋体" w:cs="仿宋"/>
          <w:sz w:val="24"/>
        </w:rPr>
      </w:pPr>
      <w:r>
        <w:rPr>
          <w:rFonts w:hint="eastAsia" w:ascii="宋体" w:hAnsi="宋体" w:cs="仿宋"/>
          <w:sz w:val="24"/>
        </w:rPr>
        <w:t>社团活动</w:t>
      </w:r>
    </w:p>
    <w:p>
      <w:pPr>
        <w:spacing w:line="400" w:lineRule="exact"/>
        <w:ind w:firstLine="480" w:firstLineChars="200"/>
        <w:rPr>
          <w:rFonts w:ascii="宋体" w:cs="仿宋"/>
          <w:sz w:val="24"/>
        </w:rPr>
      </w:pPr>
      <w:r>
        <w:rPr>
          <w:rFonts w:hint="eastAsia" w:ascii="宋体" w:hAnsi="宋体"/>
          <w:sz w:val="24"/>
          <w:szCs w:val="24"/>
        </w:rPr>
        <w:t>校团委部署学生会下的各社团积极开展社团活动，各社团积极响应。2019年下半年如音乐社组织了校园好声音大赛；体育社和篮球社组织了校园三人篮球联赛，拔河比赛等；动漫社组织了</w:t>
      </w:r>
      <w:r>
        <w:rPr>
          <w:rFonts w:ascii="宋体" w:hAnsi="宋体"/>
          <w:sz w:val="24"/>
          <w:szCs w:val="24"/>
        </w:rPr>
        <w:t>cosplay</w:t>
      </w:r>
      <w:r>
        <w:rPr>
          <w:rFonts w:hint="eastAsia" w:ascii="宋体" w:hAnsi="宋体"/>
          <w:sz w:val="24"/>
          <w:szCs w:val="24"/>
        </w:rPr>
        <w:t>秀、舞蹈表演等；通过这些活动学生们极大加强了建设美好校园的积极性，也极大丰富了学生们的业余文化生活，让他们能以更好的心态投入到学习和生活中去。</w:t>
      </w:r>
    </w:p>
    <w:p>
      <w:pPr>
        <w:spacing w:line="400" w:lineRule="exact"/>
        <w:ind w:firstLine="480" w:firstLineChars="200"/>
        <w:rPr>
          <w:rFonts w:ascii="宋体" w:cs="仿宋"/>
          <w:sz w:val="24"/>
        </w:rPr>
      </w:pPr>
      <w:r>
        <w:rPr>
          <w:rFonts w:hint="eastAsia" w:ascii="宋体" w:hAnsi="宋体" w:cs="仿宋"/>
          <w:sz w:val="24"/>
        </w:rPr>
        <w:t>团组织学生会建设</w:t>
      </w:r>
    </w:p>
    <w:p>
      <w:pPr>
        <w:spacing w:line="400" w:lineRule="exact"/>
        <w:ind w:firstLine="480" w:firstLineChars="200"/>
        <w:rPr>
          <w:rFonts w:ascii="宋体"/>
          <w:sz w:val="24"/>
          <w:szCs w:val="24"/>
        </w:rPr>
      </w:pPr>
      <w:r>
        <w:rPr>
          <w:rFonts w:hint="eastAsia" w:ascii="宋体" w:hAnsi="宋体"/>
          <w:sz w:val="24"/>
          <w:szCs w:val="24"/>
        </w:rPr>
        <w:t>为了营造良好的校园文明环境，净化校园空气，校团委联合德育处组织成立了宿舍和教室卫生检查队及校园文明督导队，对校园卫生和学生的文明举止进行督导，对校园的文明气氛起到了有效的促进作用。在闲暇时间，积极组织团委干部和学生会干部开展自查自纠，端正自己的行为，以为学生的表率，多次组织学生干部开展主题团日活动，开展团课培训。为响应国家号召，也让学生知道毒品对人类的毒害，以及新型毒品对青少年的腐蚀，给他们带来的不可逆的伤害，校团委组织了一批的学生到参观了福建省青少年强制戒毒所，经过所里干警的介绍，以及深受毒害的青少年的现身说法，学生深刻体会到了毒品的可怕。为了给学校创建和谐校园添砖加瓦，同时随着老志愿者和礼仪队老队员毕业离去，重修组建了志愿者队伍和新的礼仪队，他们的身影活跃在学校组织的各项活动上，用他们的笑容和贴心服务为各项活动的顺利进行增进了润滑。</w:t>
      </w:r>
    </w:p>
    <w:p>
      <w:pPr>
        <w:rPr>
          <w:rFonts w:ascii="宋体"/>
          <w:b/>
          <w:color w:val="FF0000"/>
          <w:sz w:val="28"/>
          <w:szCs w:val="28"/>
        </w:rPr>
      </w:pPr>
    </w:p>
    <w:p>
      <w:pPr>
        <w:ind w:firstLine="413" w:firstLineChars="147"/>
        <w:rPr>
          <w:rFonts w:ascii="宋体"/>
          <w:b/>
          <w:sz w:val="28"/>
          <w:szCs w:val="28"/>
        </w:rPr>
      </w:pPr>
      <w:r>
        <w:rPr>
          <w:rFonts w:ascii="宋体" w:hAnsi="宋体"/>
          <w:b/>
          <w:sz w:val="28"/>
          <w:szCs w:val="28"/>
        </w:rPr>
        <w:t>3.6</w:t>
      </w:r>
      <w:r>
        <w:rPr>
          <w:rFonts w:hint="eastAsia" w:ascii="宋体" w:hAnsi="宋体"/>
          <w:b/>
          <w:sz w:val="28"/>
          <w:szCs w:val="28"/>
        </w:rPr>
        <w:t>党建情况</w:t>
      </w:r>
    </w:p>
    <w:p>
      <w:pPr>
        <w:pStyle w:val="19"/>
        <w:spacing w:line="400" w:lineRule="exact"/>
        <w:ind w:left="0" w:firstLine="480" w:firstLineChars="200"/>
        <w:rPr>
          <w:rFonts w:ascii="宋体" w:hAnsi="宋体"/>
          <w:sz w:val="24"/>
        </w:rPr>
      </w:pPr>
      <w:r>
        <w:rPr>
          <w:rFonts w:hint="eastAsia"/>
          <w:sz w:val="24"/>
        </w:rPr>
        <w:t>一年来</w:t>
      </w:r>
      <w:r>
        <w:rPr>
          <w:sz w:val="24"/>
        </w:rPr>
        <w:t>，我</w:t>
      </w:r>
      <w:r>
        <w:rPr>
          <w:rFonts w:hint="eastAsia"/>
          <w:sz w:val="24"/>
        </w:rPr>
        <w:t>校党支部认真组织全体党员教师学习党的十九届五中的重要精神，重点学习习近平新时代中国特色社会主义理</w:t>
      </w:r>
      <w:r>
        <w:rPr>
          <w:sz w:val="24"/>
        </w:rPr>
        <w:t>论</w:t>
      </w:r>
      <w:r>
        <w:rPr>
          <w:rFonts w:hint="eastAsia"/>
          <w:sz w:val="24"/>
        </w:rPr>
        <w:t>，进一步加强党建工作，</w:t>
      </w:r>
      <w:r>
        <w:rPr>
          <w:sz w:val="24"/>
        </w:rPr>
        <w:t>在管理工作中，把宣传党的路线、方针、政策和政治理论学习</w:t>
      </w:r>
      <w:r>
        <w:rPr>
          <w:rFonts w:hint="eastAsia"/>
          <w:sz w:val="24"/>
        </w:rPr>
        <w:t>作</w:t>
      </w:r>
      <w:r>
        <w:rPr>
          <w:sz w:val="24"/>
        </w:rPr>
        <w:t>为首要任务；把加强师德师风建设</w:t>
      </w:r>
      <w:r>
        <w:rPr>
          <w:rFonts w:hint="eastAsia"/>
          <w:sz w:val="24"/>
        </w:rPr>
        <w:t>作</w:t>
      </w:r>
      <w:r>
        <w:rPr>
          <w:sz w:val="24"/>
        </w:rPr>
        <w:t>为教师队伍思想建设的重点；把加强党的先进性建设和党的基层组织建设作为党建工作的根本来抓；把加强领导班子建设和廉政建设作为加强党的执政能力建设等方面积极开展工作。同时，把更新教育观念、深化教育教学改革、全面实施素质教育作为今后办学的方向；把进一步改善办学条件作为学校发展的基础；把强化学校内部管理作为学校工作的关键；把提高师资队伍素质作为提高教育教学质量的保证；把全面提高学生教学质量作为办学的归宿和生命。因此，</w:t>
      </w:r>
      <w:r>
        <w:rPr>
          <w:rFonts w:hint="eastAsia"/>
          <w:sz w:val="24"/>
        </w:rPr>
        <w:t>总体</w:t>
      </w:r>
      <w:r>
        <w:rPr>
          <w:sz w:val="24"/>
        </w:rPr>
        <w:t>评价是：工作思路清晰、党政工作协调、工作措施得力、工作方法到位，教育教学工作取得了优</w:t>
      </w:r>
      <w:r>
        <w:rPr>
          <w:rFonts w:ascii="宋体" w:hAnsi="宋体"/>
          <w:sz w:val="24"/>
        </w:rPr>
        <w:t>异成绩。</w:t>
      </w:r>
      <w:r>
        <w:rPr>
          <w:rFonts w:hint="eastAsia" w:asciiTheme="minorEastAsia" w:hAnsiTheme="minorEastAsia" w:eastAsiaTheme="minorEastAsia"/>
          <w:sz w:val="24"/>
        </w:rPr>
        <w:t>1.</w:t>
      </w:r>
      <w:r>
        <w:rPr>
          <w:rFonts w:ascii="宋体" w:hAnsi="宋体"/>
          <w:sz w:val="24"/>
        </w:rPr>
        <w:t>加强理论学习，提高思想素质，坚定理想信念</w:t>
      </w:r>
      <w:r>
        <w:rPr>
          <w:rFonts w:hint="eastAsia" w:asciiTheme="minorEastAsia" w:hAnsiTheme="minorEastAsia" w:eastAsiaTheme="minorEastAsia"/>
          <w:sz w:val="24"/>
        </w:rPr>
        <w:t>；2.</w:t>
      </w:r>
      <w:r>
        <w:rPr>
          <w:rFonts w:ascii="宋体" w:hAnsi="宋体" w:cs="宋体"/>
          <w:sz w:val="24"/>
        </w:rPr>
        <w:t>加强专业知识学习，提高自身业务素质</w:t>
      </w:r>
      <w:r>
        <w:rPr>
          <w:rFonts w:hint="eastAsia" w:cs="宋体" w:asciiTheme="minorEastAsia" w:hAnsiTheme="minorEastAsia" w:eastAsiaTheme="minorEastAsia"/>
          <w:sz w:val="24"/>
        </w:rPr>
        <w:t>；3.</w:t>
      </w:r>
      <w:r>
        <w:rPr>
          <w:rFonts w:ascii="宋体" w:hAnsi="宋体" w:cs="宋体"/>
          <w:sz w:val="24"/>
        </w:rPr>
        <w:t>加强党风廉政建设，不断提高廉洁自律的自觉性</w:t>
      </w:r>
      <w:r>
        <w:rPr>
          <w:rFonts w:hint="eastAsia" w:cs="宋体" w:asciiTheme="minorEastAsia" w:hAnsiTheme="minorEastAsia" w:eastAsiaTheme="minorEastAsia"/>
          <w:sz w:val="24"/>
        </w:rPr>
        <w:t>；4.</w:t>
      </w:r>
      <w:r>
        <w:rPr>
          <w:rFonts w:ascii="宋体" w:hAnsi="宋体" w:cs="宋体"/>
          <w:sz w:val="24"/>
        </w:rPr>
        <w:t>认</w:t>
      </w:r>
      <w:r>
        <w:rPr>
          <w:rFonts w:cs="宋体" w:asciiTheme="minorEastAsia" w:hAnsiTheme="minorEastAsia" w:eastAsiaTheme="minorEastAsia"/>
          <w:sz w:val="24"/>
        </w:rPr>
        <w:t>真履行工作职责，全面完成工作任务</w:t>
      </w:r>
      <w:r>
        <w:rPr>
          <w:rFonts w:hint="eastAsia" w:cs="宋体" w:asciiTheme="minorEastAsia" w:hAnsiTheme="minorEastAsia" w:eastAsiaTheme="minorEastAsia"/>
          <w:sz w:val="24"/>
        </w:rPr>
        <w:t>；5.</w:t>
      </w:r>
      <w:r>
        <w:rPr>
          <w:rFonts w:cs="宋体" w:asciiTheme="minorEastAsia" w:hAnsiTheme="minorEastAsia" w:eastAsiaTheme="minorEastAsia"/>
          <w:sz w:val="24"/>
        </w:rPr>
        <w:t>科学的制定了党支部工作计划，正常的开展了党务工作</w:t>
      </w:r>
      <w:r>
        <w:rPr>
          <w:rFonts w:hint="eastAsia" w:cs="宋体" w:asciiTheme="minorEastAsia" w:hAnsiTheme="minorEastAsia" w:eastAsiaTheme="minorEastAsia"/>
          <w:sz w:val="24"/>
        </w:rPr>
        <w:t>；6</w:t>
      </w:r>
      <w:r>
        <w:rPr>
          <w:rFonts w:ascii="宋体" w:hAnsi="宋体" w:cs="宋体"/>
          <w:sz w:val="24"/>
        </w:rPr>
        <w:t>.切实组织和加强党员干部、全校教师的政治理论</w:t>
      </w:r>
      <w:r>
        <w:rPr>
          <w:rFonts w:cs="宋体" w:asciiTheme="minorEastAsia" w:hAnsiTheme="minorEastAsia" w:eastAsiaTheme="minorEastAsia"/>
          <w:sz w:val="24"/>
        </w:rPr>
        <w:t>学习，建立完善了领导干部和教职工政治学习制度以及考核、考评制度</w:t>
      </w:r>
      <w:r>
        <w:rPr>
          <w:rFonts w:hint="eastAsia" w:cs="宋体" w:asciiTheme="minorEastAsia" w:hAnsiTheme="minorEastAsia" w:eastAsiaTheme="minorEastAsia"/>
          <w:sz w:val="24"/>
        </w:rPr>
        <w:t>；7</w:t>
      </w:r>
      <w:r>
        <w:rPr>
          <w:rFonts w:ascii="宋体" w:hAnsi="宋体" w:cs="宋体"/>
          <w:sz w:val="24"/>
        </w:rPr>
        <w:t>.认真组织开展了学校党员</w:t>
      </w:r>
      <w:r>
        <w:rPr>
          <w:rFonts w:hint="eastAsia" w:ascii="宋体" w:hAnsi="宋体" w:cs="宋体"/>
          <w:sz w:val="24"/>
        </w:rPr>
        <w:t>集中学习党的十九</w:t>
      </w:r>
      <w:r>
        <w:rPr>
          <w:rFonts w:hint="eastAsia" w:ascii="宋体" w:hAnsi="宋体"/>
          <w:sz w:val="24"/>
        </w:rPr>
        <w:t>大</w:t>
      </w:r>
      <w:r>
        <w:rPr>
          <w:rFonts w:hint="eastAsia" w:ascii="宋体" w:hAnsi="宋体" w:cs="宋体"/>
          <w:sz w:val="24"/>
        </w:rPr>
        <w:t>精神的</w:t>
      </w:r>
      <w:r>
        <w:rPr>
          <w:rFonts w:cs="宋体" w:asciiTheme="minorEastAsia" w:hAnsiTheme="minorEastAsia" w:eastAsiaTheme="minorEastAsia"/>
          <w:sz w:val="24"/>
        </w:rPr>
        <w:t>活动</w:t>
      </w:r>
      <w:r>
        <w:rPr>
          <w:rFonts w:hint="eastAsia" w:cs="宋体" w:asciiTheme="minorEastAsia" w:hAnsiTheme="minorEastAsia" w:eastAsiaTheme="minorEastAsia"/>
          <w:sz w:val="24"/>
        </w:rPr>
        <w:t>；8</w:t>
      </w:r>
      <w:r>
        <w:rPr>
          <w:rFonts w:ascii="宋体" w:hAnsi="宋体" w:cs="宋体"/>
          <w:sz w:val="24"/>
        </w:rPr>
        <w:t>.重视</w:t>
      </w:r>
      <w:r>
        <w:rPr>
          <w:rFonts w:cs="宋体" w:asciiTheme="minorEastAsia" w:hAnsiTheme="minorEastAsia" w:eastAsiaTheme="minorEastAsia"/>
          <w:sz w:val="24"/>
        </w:rPr>
        <w:t>和加强了对工会、妇联、共青团工作的领导，并开展了扎实有效的活动</w:t>
      </w:r>
      <w:r>
        <w:rPr>
          <w:rFonts w:hint="eastAsia" w:cs="宋体" w:asciiTheme="minorEastAsia" w:hAnsiTheme="minorEastAsia" w:eastAsiaTheme="minorEastAsia"/>
          <w:sz w:val="24"/>
        </w:rPr>
        <w:t>；9</w:t>
      </w:r>
      <w:r>
        <w:rPr>
          <w:rFonts w:ascii="宋体" w:hAnsi="宋体" w:cs="宋体"/>
          <w:sz w:val="24"/>
        </w:rPr>
        <w:t>.精</w:t>
      </w:r>
      <w:r>
        <w:rPr>
          <w:rFonts w:cs="宋体" w:asciiTheme="minorEastAsia" w:hAnsiTheme="minorEastAsia" w:eastAsiaTheme="minorEastAsia"/>
          <w:sz w:val="24"/>
        </w:rPr>
        <w:t>心组织开展各类校园文化活动，活动效果显著，受到了良好的社会效果</w:t>
      </w:r>
      <w:r>
        <w:rPr>
          <w:rFonts w:hint="eastAsia" w:cs="宋体" w:asciiTheme="minorEastAsia" w:hAnsiTheme="minorEastAsia" w:eastAsiaTheme="minorEastAsia"/>
          <w:sz w:val="24"/>
        </w:rPr>
        <w:t>；10</w:t>
      </w:r>
      <w:r>
        <w:rPr>
          <w:rFonts w:ascii="宋体" w:hAnsi="宋体" w:cs="宋体"/>
          <w:sz w:val="24"/>
        </w:rPr>
        <w:t>.学校党支部发展了</w:t>
      </w:r>
      <w:r>
        <w:rPr>
          <w:rFonts w:hint="eastAsia" w:ascii="宋体" w:hAnsi="宋体" w:cs="宋体"/>
          <w:sz w:val="24"/>
        </w:rPr>
        <w:t>一</w:t>
      </w:r>
      <w:r>
        <w:rPr>
          <w:rFonts w:ascii="宋体" w:hAnsi="宋体" w:cs="宋体"/>
          <w:sz w:val="24"/>
        </w:rPr>
        <w:t>名</w:t>
      </w:r>
      <w:r>
        <w:rPr>
          <w:rFonts w:hint="eastAsia" w:ascii="宋体" w:hAnsi="宋体" w:cs="宋体"/>
          <w:sz w:val="24"/>
        </w:rPr>
        <w:t>建党积极分子，以及一名预备党员转正</w:t>
      </w:r>
      <w:r>
        <w:rPr>
          <w:rFonts w:hint="eastAsia" w:cs="宋体" w:asciiTheme="minorEastAsia" w:hAnsiTheme="minorEastAsia" w:eastAsiaTheme="minorEastAsia"/>
          <w:sz w:val="24"/>
        </w:rPr>
        <w:t>；11</w:t>
      </w:r>
      <w:r>
        <w:rPr>
          <w:rFonts w:ascii="宋体" w:hAnsi="宋体" w:cs="宋体"/>
          <w:sz w:val="24"/>
        </w:rPr>
        <w:t>.加强学校德育工作和法制宣传教育工作，</w:t>
      </w:r>
      <w:r>
        <w:rPr>
          <w:rFonts w:hint="eastAsia" w:ascii="宋体" w:hAnsi="宋体" w:cs="宋体"/>
          <w:sz w:val="24"/>
        </w:rPr>
        <w:t>学校德育成果显著，出现了很多好人好事</w:t>
      </w:r>
      <w:r>
        <w:rPr>
          <w:rFonts w:hint="eastAsia" w:cs="宋体" w:asciiTheme="minorEastAsia" w:hAnsiTheme="minorEastAsia" w:eastAsiaTheme="minorEastAsia"/>
          <w:sz w:val="24"/>
        </w:rPr>
        <w:t>；12</w:t>
      </w:r>
      <w:r>
        <w:rPr>
          <w:rFonts w:ascii="宋体" w:hAnsi="宋体" w:cs="宋体"/>
          <w:sz w:val="24"/>
        </w:rPr>
        <w:t>.狠抓学校“三化”建设</w:t>
      </w:r>
      <w:r>
        <w:rPr>
          <w:rFonts w:hint="eastAsia" w:cs="宋体" w:asciiTheme="minorEastAsia" w:hAnsiTheme="minorEastAsia" w:eastAsiaTheme="minorEastAsia"/>
          <w:sz w:val="24"/>
        </w:rPr>
        <w:t>；13</w:t>
      </w:r>
      <w:r>
        <w:rPr>
          <w:rFonts w:ascii="宋体" w:hAnsi="宋体" w:cs="宋体"/>
          <w:sz w:val="24"/>
        </w:rPr>
        <w:t>.认真组织实施了“依法治校”、“以德治校”和《加强和改进未成年人思</w:t>
      </w:r>
      <w:r>
        <w:rPr>
          <w:rFonts w:cs="宋体" w:asciiTheme="minorEastAsia" w:hAnsiTheme="minorEastAsia" w:eastAsiaTheme="minorEastAsia"/>
          <w:sz w:val="24"/>
        </w:rPr>
        <w:t>想道德建设》方案</w:t>
      </w:r>
      <w:r>
        <w:rPr>
          <w:rFonts w:hint="eastAsia" w:cs="宋体" w:asciiTheme="minorEastAsia" w:hAnsiTheme="minorEastAsia" w:eastAsiaTheme="minorEastAsia"/>
          <w:sz w:val="24"/>
        </w:rPr>
        <w:t>；</w:t>
      </w:r>
      <w:r>
        <w:rPr>
          <w:rFonts w:ascii="宋体" w:hAnsi="宋体" w:cs="宋体"/>
          <w:sz w:val="24"/>
        </w:rPr>
        <w:t>1</w:t>
      </w:r>
      <w:r>
        <w:rPr>
          <w:rFonts w:hint="eastAsia" w:cs="宋体" w:asciiTheme="minorEastAsia" w:hAnsiTheme="minorEastAsia" w:eastAsiaTheme="minorEastAsia"/>
          <w:sz w:val="24"/>
        </w:rPr>
        <w:t>4</w:t>
      </w:r>
      <w:r>
        <w:rPr>
          <w:rFonts w:ascii="宋体" w:hAnsi="宋体" w:cs="宋体"/>
          <w:sz w:val="24"/>
        </w:rPr>
        <w:t>.狠抓学校“三风”</w:t>
      </w:r>
      <w:r>
        <w:rPr>
          <w:rFonts w:cs="宋体" w:asciiTheme="minorEastAsia" w:hAnsiTheme="minorEastAsia" w:eastAsiaTheme="minorEastAsia"/>
          <w:sz w:val="24"/>
        </w:rPr>
        <w:t>建设和师德师风建设工</w:t>
      </w:r>
      <w:r>
        <w:rPr>
          <w:rFonts w:hint="eastAsia" w:cs="宋体" w:asciiTheme="minorEastAsia" w:hAnsiTheme="minorEastAsia" w:eastAsiaTheme="minorEastAsia"/>
          <w:sz w:val="24"/>
        </w:rPr>
        <w:t>；</w:t>
      </w:r>
      <w:r>
        <w:rPr>
          <w:rFonts w:ascii="宋体" w:hAnsi="宋体" w:cs="宋体"/>
          <w:sz w:val="24"/>
        </w:rPr>
        <w:t>1</w:t>
      </w:r>
      <w:r>
        <w:rPr>
          <w:rFonts w:hint="eastAsia" w:cs="宋体" w:asciiTheme="minorEastAsia" w:hAnsiTheme="minorEastAsia" w:eastAsiaTheme="minorEastAsia"/>
          <w:sz w:val="24"/>
        </w:rPr>
        <w:t>5</w:t>
      </w:r>
      <w:r>
        <w:rPr>
          <w:rFonts w:ascii="宋体" w:hAnsi="宋体" w:cs="宋体"/>
          <w:sz w:val="24"/>
        </w:rPr>
        <w:t>.认真抓好精神文明建设、综合治理。充分调动广大师生积极参与、广泛</w:t>
      </w:r>
      <w:r>
        <w:rPr>
          <w:rFonts w:hint="eastAsia" w:cs="宋体" w:asciiTheme="minorEastAsia" w:hAnsiTheme="minorEastAsia" w:eastAsiaTheme="minorEastAsia"/>
          <w:sz w:val="24"/>
        </w:rPr>
        <w:t>，</w:t>
      </w:r>
      <w:r>
        <w:rPr>
          <w:rFonts w:cs="宋体" w:asciiTheme="minorEastAsia" w:hAnsiTheme="minorEastAsia" w:eastAsiaTheme="minorEastAsia"/>
          <w:sz w:val="24"/>
        </w:rPr>
        <w:t>扎实、深入地开展文明单位创建活动</w:t>
      </w:r>
      <w:r>
        <w:rPr>
          <w:rFonts w:hint="eastAsia" w:cs="宋体" w:asciiTheme="minorEastAsia" w:hAnsiTheme="minorEastAsia" w:eastAsiaTheme="minorEastAsia"/>
          <w:sz w:val="24"/>
        </w:rPr>
        <w:t>；16</w:t>
      </w:r>
      <w:r>
        <w:rPr>
          <w:rFonts w:ascii="宋体" w:hAnsi="宋体" w:cs="宋体"/>
          <w:sz w:val="24"/>
        </w:rPr>
        <w:t>.认真履行了人大代表工作职能。</w:t>
      </w:r>
    </w:p>
    <w:p>
      <w:pPr>
        <w:spacing w:line="360" w:lineRule="auto"/>
        <w:ind w:firstLine="554" w:firstLineChars="197"/>
        <w:rPr>
          <w:rFonts w:ascii="宋体"/>
          <w:b/>
          <w:sz w:val="28"/>
          <w:szCs w:val="28"/>
        </w:rPr>
      </w:pPr>
      <w:r>
        <w:rPr>
          <w:rFonts w:ascii="宋体" w:hAnsi="宋体"/>
          <w:b/>
          <w:sz w:val="28"/>
          <w:szCs w:val="28"/>
        </w:rPr>
        <w:t>4.</w:t>
      </w:r>
      <w:r>
        <w:rPr>
          <w:rFonts w:hint="eastAsia" w:ascii="宋体" w:hAnsi="宋体"/>
          <w:b/>
          <w:sz w:val="28"/>
          <w:szCs w:val="28"/>
        </w:rPr>
        <w:t>校企合作统计</w:t>
      </w:r>
    </w:p>
    <w:p>
      <w:pPr>
        <w:ind w:firstLine="551" w:firstLineChars="196"/>
        <w:rPr>
          <w:rFonts w:ascii="宋体"/>
          <w:b/>
          <w:sz w:val="28"/>
          <w:szCs w:val="28"/>
        </w:rPr>
      </w:pPr>
      <w:r>
        <w:rPr>
          <w:rFonts w:ascii="宋体" w:hAnsi="宋体"/>
          <w:b/>
          <w:sz w:val="28"/>
          <w:szCs w:val="28"/>
        </w:rPr>
        <w:t>4.1</w:t>
      </w:r>
      <w:r>
        <w:rPr>
          <w:rFonts w:hint="eastAsia" w:ascii="宋体" w:hAnsi="宋体"/>
          <w:b/>
          <w:sz w:val="28"/>
          <w:szCs w:val="28"/>
        </w:rPr>
        <w:t>校企合作开展情况和效果</w:t>
      </w:r>
    </w:p>
    <w:p>
      <w:pPr>
        <w:spacing w:line="400" w:lineRule="exact"/>
        <w:ind w:firstLine="480" w:firstLineChars="200"/>
        <w:rPr>
          <w:rFonts w:ascii="宋体" w:cs="宋体"/>
          <w:kern w:val="0"/>
          <w:sz w:val="24"/>
          <w:szCs w:val="24"/>
        </w:rPr>
      </w:pPr>
    </w:p>
    <w:p>
      <w:pPr>
        <w:spacing w:line="400" w:lineRule="exact"/>
        <w:ind w:firstLine="480" w:firstLineChars="200"/>
        <w:rPr>
          <w:rFonts w:hint="eastAsia" w:ascii="宋体" w:hAnsi="宋体" w:cs="宋体"/>
          <w:kern w:val="0"/>
          <w:sz w:val="24"/>
          <w:szCs w:val="24"/>
        </w:rPr>
      </w:pPr>
      <w:r>
        <w:rPr>
          <w:rFonts w:hint="eastAsia" w:ascii="宋体" w:hAnsi="宋体" w:cs="宋体"/>
          <w:kern w:val="0"/>
          <w:sz w:val="24"/>
          <w:szCs w:val="24"/>
        </w:rPr>
        <w:t>因受疫情的影响，校企合作只实施了2019年下半年。</w:t>
      </w:r>
    </w:p>
    <w:p>
      <w:pPr>
        <w:spacing w:line="400" w:lineRule="exact"/>
        <w:ind w:firstLine="480" w:firstLineChars="200"/>
        <w:rPr>
          <w:rFonts w:hint="eastAsia" w:ascii="宋体" w:hAnsi="宋体" w:cs="宋体"/>
          <w:kern w:val="0"/>
          <w:sz w:val="24"/>
          <w:szCs w:val="24"/>
        </w:rPr>
      </w:pPr>
      <w:r>
        <w:rPr>
          <w:rFonts w:hint="eastAsia" w:ascii="宋体" w:hAnsi="宋体" w:cs="宋体"/>
          <w:kern w:val="0"/>
          <w:sz w:val="24"/>
          <w:szCs w:val="24"/>
        </w:rPr>
        <w:t>学校美术系列专业继续选择和福州美源工艺品有限公司、</w:t>
      </w:r>
      <w:r>
        <w:rPr>
          <w:rFonts w:hint="eastAsia" w:ascii="宋体" w:cs="宋体"/>
          <w:kern w:val="0"/>
          <w:sz w:val="24"/>
          <w:szCs w:val="24"/>
        </w:rPr>
        <w:t>福建索佳艺陶瓷有限公司</w:t>
      </w:r>
      <w:r>
        <w:rPr>
          <w:rFonts w:hint="eastAsia" w:ascii="宋体" w:hAnsi="宋体" w:cs="宋体"/>
          <w:kern w:val="0"/>
          <w:sz w:val="24"/>
          <w:szCs w:val="24"/>
        </w:rPr>
        <w:t xml:space="preserve">等公司现代学徒制合作；学前教育继续与福州高新区儿童学园等两家公办幼儿园新合作、与闽侯南屿蓓蕾幼儿园等七所私立幼儿园继续合作、形成“订单培养”、“工学交替”人才培养模式。    </w:t>
      </w:r>
    </w:p>
    <w:p>
      <w:pPr>
        <w:spacing w:line="400" w:lineRule="exact"/>
        <w:ind w:firstLine="480" w:firstLineChars="200"/>
        <w:rPr>
          <w:rFonts w:ascii="宋体" w:cs="宋体"/>
          <w:kern w:val="0"/>
          <w:sz w:val="24"/>
          <w:szCs w:val="24"/>
        </w:rPr>
      </w:pPr>
      <w:r>
        <w:rPr>
          <w:rFonts w:ascii="宋体" w:hAnsi="宋体" w:cs="宋体"/>
          <w:kern w:val="0"/>
          <w:sz w:val="24"/>
          <w:szCs w:val="24"/>
        </w:rPr>
        <w:t>2019</w:t>
      </w:r>
      <w:r>
        <w:rPr>
          <w:rFonts w:hint="eastAsia" w:ascii="宋体" w:hAnsi="宋体" w:cs="宋体"/>
          <w:kern w:val="0"/>
          <w:sz w:val="24"/>
          <w:szCs w:val="24"/>
        </w:rPr>
        <w:t>年9月，</w:t>
      </w:r>
      <w:r>
        <w:rPr>
          <w:rFonts w:ascii="宋体" w:hAnsi="宋体" w:cs="宋体"/>
          <w:kern w:val="0"/>
          <w:sz w:val="24"/>
          <w:szCs w:val="24"/>
        </w:rPr>
        <w:t>2018</w:t>
      </w:r>
      <w:r>
        <w:rPr>
          <w:rFonts w:hint="eastAsia" w:ascii="宋体" w:hAnsi="宋体" w:cs="宋体"/>
          <w:kern w:val="0"/>
          <w:sz w:val="24"/>
          <w:szCs w:val="24"/>
        </w:rPr>
        <w:t>级</w:t>
      </w:r>
      <w:r>
        <w:rPr>
          <w:rFonts w:hint="eastAsia" w:ascii="宋体" w:hAnsi="宋体"/>
          <w:sz w:val="24"/>
          <w:szCs w:val="24"/>
        </w:rPr>
        <w:t>工艺美术（装潢设计与制作）专业携手</w:t>
      </w:r>
      <w:r>
        <w:rPr>
          <w:rFonts w:hint="eastAsia" w:ascii="宋体" w:hAnsi="宋体" w:cs="宋体"/>
          <w:kern w:val="0"/>
          <w:sz w:val="24"/>
          <w:szCs w:val="24"/>
        </w:rPr>
        <w:t>福州美源工艺品有限公司</w:t>
      </w:r>
      <w:r>
        <w:rPr>
          <w:rFonts w:hint="eastAsia" w:ascii="宋体" w:cs="宋体"/>
          <w:kern w:val="0"/>
          <w:sz w:val="24"/>
          <w:szCs w:val="24"/>
        </w:rPr>
        <w:t>启动第二批“现代学徒制试点”工作</w:t>
      </w:r>
      <w:r>
        <w:rPr>
          <w:rFonts w:hint="eastAsia" w:ascii="宋体" w:hAnsi="宋体" w:cs="宋体"/>
          <w:kern w:val="0"/>
          <w:sz w:val="24"/>
          <w:szCs w:val="24"/>
        </w:rPr>
        <w:t>。即</w:t>
      </w:r>
      <w:r>
        <w:rPr>
          <w:rFonts w:hint="eastAsia" w:ascii="宋体" w:cs="宋体"/>
          <w:kern w:val="0"/>
          <w:sz w:val="24"/>
          <w:szCs w:val="24"/>
        </w:rPr>
        <w:t>1.</w:t>
      </w:r>
      <w:r>
        <w:rPr>
          <w:rFonts w:hint="eastAsia" w:ascii="宋体" w:hAnsi="宋体" w:cs="宋体"/>
          <w:kern w:val="0"/>
          <w:sz w:val="24"/>
          <w:szCs w:val="24"/>
        </w:rPr>
        <w:t>学校和企业联合组建了由校内骨干教师与企业师傅组成的专业精英教学团队。学校课程以理论和实践一体教学为主，主要采取任务驱动、项目导向教学，由学校教师负责组织教学实施与考核评价；企业课程以实践教学为主，主要采取“学中做、做中学”模式强化岗位技能训练和职业素养培育，由企业师傅负责组织教学实施与考核评价。2.学生通过学校课堂的学习，在校内教师指导下，完成专业基础理论学习和基础技能、专业单项技能与综合技能的训练，掌握企业岗位生产的基本理论和技术，学生在学校学习后带着学习任务进企业。学生在企业课堂以学徒身份，采取“一师多徒、一徒多师、一师多徒”的灵活交替方式学习，通过以学生和学徒的双重身份在学校与企业的交替学习，实现专业理论知识和岗位技术技能的不断提升。另外，我校为了学生的学业今后有更好的发展前途，还通过专业和文化课成绩的筛选，推荐一些优秀的学生去参加高职升学考试，取得不菲的成绩，高职升学率相当高。</w:t>
      </w:r>
    </w:p>
    <w:p>
      <w:pPr>
        <w:spacing w:line="400" w:lineRule="exact"/>
        <w:ind w:firstLine="480" w:firstLineChars="200"/>
        <w:rPr>
          <w:rFonts w:ascii="宋体"/>
          <w:sz w:val="24"/>
          <w:szCs w:val="24"/>
        </w:rPr>
      </w:pPr>
      <w:r>
        <w:rPr>
          <w:rFonts w:hint="eastAsia" w:ascii="宋体" w:hAnsi="宋体" w:cs="宋体"/>
          <w:kern w:val="0"/>
          <w:sz w:val="24"/>
          <w:szCs w:val="24"/>
        </w:rPr>
        <w:t>实践表明，校企合作可以更好地实现专业设置与产业需求对接、课程内容与职业标准对接、教学过程与生产过程对接、毕业证书与职业资格证书对接、职业教育与终身学习对接。校企双方互相支持、互相渗透、双向介入、优势互补、资源互用、利益共享，推进“校企合作办学”、“提高就业质量”等办学实践，为海西建设输送更多高素质、技能型人才；等疫情防控结束后，学校将会认真实施。</w:t>
      </w:r>
    </w:p>
    <w:tbl>
      <w:tblPr>
        <w:tblStyle w:val="7"/>
        <w:tblW w:w="8856" w:type="dxa"/>
        <w:tblInd w:w="0" w:type="dxa"/>
        <w:tblLayout w:type="fixed"/>
        <w:tblCellMar>
          <w:top w:w="0" w:type="dxa"/>
          <w:left w:w="108" w:type="dxa"/>
          <w:bottom w:w="0" w:type="dxa"/>
          <w:right w:w="108" w:type="dxa"/>
        </w:tblCellMar>
      </w:tblPr>
      <w:tblGrid>
        <w:gridCol w:w="1861"/>
        <w:gridCol w:w="2163"/>
        <w:gridCol w:w="1353"/>
        <w:gridCol w:w="2163"/>
        <w:gridCol w:w="1316"/>
      </w:tblGrid>
      <w:tr>
        <w:tblPrEx>
          <w:tblCellMar>
            <w:top w:w="0" w:type="dxa"/>
            <w:left w:w="108" w:type="dxa"/>
            <w:bottom w:w="0" w:type="dxa"/>
            <w:right w:w="108" w:type="dxa"/>
          </w:tblCellMar>
        </w:tblPrEx>
        <w:trPr>
          <w:trHeight w:val="345" w:hRule="atLeast"/>
        </w:trPr>
        <w:tc>
          <w:tcPr>
            <w:tcW w:w="8856" w:type="dxa"/>
            <w:gridSpan w:val="5"/>
            <w:tcBorders>
              <w:top w:val="nil"/>
              <w:left w:val="nil"/>
              <w:bottom w:val="nil"/>
              <w:right w:val="nil"/>
            </w:tcBorders>
            <w:vAlign w:val="center"/>
          </w:tcPr>
          <w:p>
            <w:pPr>
              <w:spacing w:beforeLines="50" w:afterLines="50" w:line="420" w:lineRule="exact"/>
              <w:jc w:val="center"/>
              <w:rPr>
                <w:rFonts w:ascii="宋体"/>
                <w:sz w:val="24"/>
                <w:szCs w:val="24"/>
              </w:rPr>
            </w:pPr>
            <w:r>
              <w:rPr>
                <w:rFonts w:hint="eastAsia" w:ascii="宋体" w:hAnsi="宋体"/>
                <w:sz w:val="24"/>
                <w:szCs w:val="24"/>
              </w:rPr>
              <w:t>表</w:t>
            </w:r>
            <w:r>
              <w:rPr>
                <w:rFonts w:ascii="宋体" w:hAnsi="宋体"/>
                <w:sz w:val="24"/>
                <w:szCs w:val="24"/>
              </w:rPr>
              <w:t>10</w:t>
            </w:r>
            <w:r>
              <w:rPr>
                <w:rFonts w:hint="eastAsia" w:ascii="宋体" w:hAnsi="宋体"/>
                <w:sz w:val="24"/>
                <w:szCs w:val="24"/>
              </w:rPr>
              <w:t>：校企合作统计</w:t>
            </w:r>
          </w:p>
        </w:tc>
      </w:tr>
      <w:tr>
        <w:tblPrEx>
          <w:tblCellMar>
            <w:top w:w="0" w:type="dxa"/>
            <w:left w:w="108" w:type="dxa"/>
            <w:bottom w:w="0" w:type="dxa"/>
            <w:right w:w="108" w:type="dxa"/>
          </w:tblCellMar>
        </w:tblPrEx>
        <w:trPr>
          <w:trHeight w:val="510" w:hRule="atLeast"/>
        </w:trPr>
        <w:tc>
          <w:tcPr>
            <w:tcW w:w="1861" w:type="dxa"/>
            <w:tcBorders>
              <w:top w:val="single" w:color="auto" w:sz="4" w:space="0"/>
              <w:left w:val="single" w:color="auto" w:sz="4" w:space="0"/>
              <w:bottom w:val="single" w:color="auto" w:sz="4" w:space="0"/>
              <w:right w:val="single" w:color="auto" w:sz="4" w:space="0"/>
            </w:tcBorders>
            <w:vAlign w:val="center"/>
          </w:tcPr>
          <w:p>
            <w:pPr>
              <w:widowControl/>
              <w:spacing w:line="420" w:lineRule="exact"/>
              <w:jc w:val="center"/>
              <w:rPr>
                <w:rFonts w:ascii="宋体" w:cs="宋体"/>
                <w:kern w:val="0"/>
              </w:rPr>
            </w:pPr>
            <w:r>
              <w:rPr>
                <w:rFonts w:hint="eastAsia" w:ascii="宋体" w:hAnsi="宋体" w:cs="宋体"/>
                <w:kern w:val="0"/>
              </w:rPr>
              <w:t>年份</w:t>
            </w:r>
          </w:p>
        </w:tc>
        <w:tc>
          <w:tcPr>
            <w:tcW w:w="2163" w:type="dxa"/>
            <w:tcBorders>
              <w:top w:val="single" w:color="000000" w:sz="4" w:space="0"/>
              <w:left w:val="nil"/>
              <w:bottom w:val="single" w:color="000000" w:sz="4" w:space="0"/>
              <w:right w:val="single" w:color="000000" w:sz="4" w:space="0"/>
            </w:tcBorders>
            <w:vAlign w:val="center"/>
          </w:tcPr>
          <w:p>
            <w:pPr>
              <w:widowControl/>
              <w:spacing w:line="420" w:lineRule="exact"/>
              <w:jc w:val="center"/>
              <w:rPr>
                <w:rFonts w:ascii="宋体" w:cs="宋体"/>
                <w:bCs/>
                <w:kern w:val="0"/>
              </w:rPr>
            </w:pPr>
            <w:r>
              <w:rPr>
                <w:rFonts w:hint="eastAsia" w:ascii="宋体" w:hAnsi="宋体" w:cs="宋体"/>
                <w:bCs/>
                <w:kern w:val="0"/>
              </w:rPr>
              <w:t>紧密型合作企业数</w:t>
            </w:r>
          </w:p>
        </w:tc>
        <w:tc>
          <w:tcPr>
            <w:tcW w:w="1353" w:type="dxa"/>
            <w:tcBorders>
              <w:top w:val="single" w:color="000000" w:sz="4" w:space="0"/>
              <w:left w:val="nil"/>
              <w:bottom w:val="single" w:color="000000" w:sz="4" w:space="0"/>
              <w:right w:val="single" w:color="000000" w:sz="4" w:space="0"/>
            </w:tcBorders>
            <w:vAlign w:val="center"/>
          </w:tcPr>
          <w:p>
            <w:pPr>
              <w:widowControl/>
              <w:spacing w:line="420" w:lineRule="exact"/>
              <w:jc w:val="center"/>
              <w:rPr>
                <w:rFonts w:ascii="宋体" w:cs="宋体"/>
                <w:bCs/>
                <w:kern w:val="0"/>
              </w:rPr>
            </w:pPr>
            <w:r>
              <w:rPr>
                <w:rFonts w:hint="eastAsia" w:ascii="宋体" w:hAnsi="宋体" w:cs="宋体"/>
                <w:bCs/>
                <w:kern w:val="0"/>
              </w:rPr>
              <w:t>效果评价</w:t>
            </w:r>
          </w:p>
        </w:tc>
        <w:tc>
          <w:tcPr>
            <w:tcW w:w="2163" w:type="dxa"/>
            <w:tcBorders>
              <w:top w:val="single" w:color="000000" w:sz="4" w:space="0"/>
              <w:left w:val="nil"/>
              <w:bottom w:val="single" w:color="000000" w:sz="4" w:space="0"/>
              <w:right w:val="single" w:color="000000" w:sz="4" w:space="0"/>
            </w:tcBorders>
            <w:vAlign w:val="center"/>
          </w:tcPr>
          <w:p>
            <w:pPr>
              <w:widowControl/>
              <w:spacing w:line="420" w:lineRule="exact"/>
              <w:jc w:val="center"/>
              <w:rPr>
                <w:rFonts w:ascii="宋体" w:cs="宋体"/>
                <w:bCs/>
                <w:kern w:val="0"/>
              </w:rPr>
            </w:pPr>
            <w:r>
              <w:rPr>
                <w:rFonts w:hint="eastAsia" w:ascii="宋体" w:hAnsi="宋体" w:cs="宋体"/>
                <w:bCs/>
                <w:kern w:val="0"/>
              </w:rPr>
              <w:t>松散型合作企业数</w:t>
            </w:r>
          </w:p>
        </w:tc>
        <w:tc>
          <w:tcPr>
            <w:tcW w:w="1316" w:type="dxa"/>
            <w:tcBorders>
              <w:top w:val="single" w:color="000000" w:sz="4" w:space="0"/>
              <w:left w:val="nil"/>
              <w:bottom w:val="single" w:color="000000" w:sz="4" w:space="0"/>
              <w:right w:val="single" w:color="000000" w:sz="4" w:space="0"/>
            </w:tcBorders>
            <w:vAlign w:val="center"/>
          </w:tcPr>
          <w:p>
            <w:pPr>
              <w:widowControl/>
              <w:spacing w:line="420" w:lineRule="exact"/>
              <w:jc w:val="center"/>
              <w:rPr>
                <w:rFonts w:ascii="宋体" w:cs="宋体"/>
                <w:bCs/>
                <w:kern w:val="0"/>
              </w:rPr>
            </w:pPr>
            <w:r>
              <w:rPr>
                <w:rFonts w:hint="eastAsia" w:ascii="宋体" w:hAnsi="宋体" w:cs="宋体"/>
                <w:bCs/>
                <w:kern w:val="0"/>
              </w:rPr>
              <w:t>效果评价</w:t>
            </w:r>
          </w:p>
        </w:tc>
      </w:tr>
      <w:tr>
        <w:tblPrEx>
          <w:tblCellMar>
            <w:top w:w="0" w:type="dxa"/>
            <w:left w:w="108" w:type="dxa"/>
            <w:bottom w:w="0" w:type="dxa"/>
            <w:right w:w="108" w:type="dxa"/>
          </w:tblCellMar>
        </w:tblPrEx>
        <w:trPr>
          <w:trHeight w:val="567" w:hRule="atLeast"/>
        </w:trPr>
        <w:tc>
          <w:tcPr>
            <w:tcW w:w="1861" w:type="dxa"/>
            <w:tcBorders>
              <w:top w:val="nil"/>
              <w:left w:val="single" w:color="auto" w:sz="4" w:space="0"/>
              <w:bottom w:val="single" w:color="auto" w:sz="4" w:space="0"/>
              <w:right w:val="single" w:color="auto" w:sz="4" w:space="0"/>
            </w:tcBorders>
            <w:vAlign w:val="center"/>
          </w:tcPr>
          <w:p>
            <w:pPr>
              <w:widowControl/>
              <w:spacing w:line="420" w:lineRule="exact"/>
              <w:jc w:val="center"/>
              <w:rPr>
                <w:rFonts w:ascii="宋体" w:cs="宋体"/>
                <w:kern w:val="0"/>
              </w:rPr>
            </w:pPr>
            <w:r>
              <w:rPr>
                <w:rFonts w:ascii="宋体" w:hAnsi="宋体" w:cs="宋体"/>
                <w:kern w:val="0"/>
              </w:rPr>
              <w:t>201</w:t>
            </w:r>
            <w:r>
              <w:rPr>
                <w:rFonts w:hint="eastAsia" w:ascii="宋体" w:hAnsi="宋体" w:cs="宋体"/>
                <w:kern w:val="0"/>
              </w:rPr>
              <w:t>8</w:t>
            </w:r>
            <w:r>
              <w:rPr>
                <w:rFonts w:ascii="宋体" w:hAnsi="宋体" w:cs="宋体"/>
                <w:kern w:val="0"/>
              </w:rPr>
              <w:t>-201</w:t>
            </w:r>
            <w:r>
              <w:rPr>
                <w:rFonts w:hint="eastAsia" w:ascii="宋体" w:hAnsi="宋体" w:cs="宋体"/>
                <w:kern w:val="0"/>
              </w:rPr>
              <w:t>9学年</w:t>
            </w:r>
          </w:p>
        </w:tc>
        <w:tc>
          <w:tcPr>
            <w:tcW w:w="2163" w:type="dxa"/>
            <w:tcBorders>
              <w:top w:val="nil"/>
              <w:left w:val="nil"/>
              <w:bottom w:val="single" w:color="000000" w:sz="4" w:space="0"/>
              <w:right w:val="single" w:color="000000" w:sz="4" w:space="0"/>
            </w:tcBorders>
            <w:vAlign w:val="center"/>
          </w:tcPr>
          <w:p>
            <w:pPr>
              <w:widowControl/>
              <w:spacing w:line="420" w:lineRule="exact"/>
              <w:jc w:val="center"/>
              <w:rPr>
                <w:rFonts w:ascii="宋体"/>
              </w:rPr>
            </w:pPr>
            <w:r>
              <w:rPr>
                <w:rFonts w:hint="eastAsia" w:ascii="宋体" w:hAnsi="宋体"/>
              </w:rPr>
              <w:t>5个</w:t>
            </w:r>
          </w:p>
        </w:tc>
        <w:tc>
          <w:tcPr>
            <w:tcW w:w="1353" w:type="dxa"/>
            <w:tcBorders>
              <w:top w:val="nil"/>
              <w:left w:val="nil"/>
              <w:bottom w:val="single" w:color="000000" w:sz="4" w:space="0"/>
              <w:right w:val="single" w:color="000000" w:sz="4" w:space="0"/>
            </w:tcBorders>
            <w:vAlign w:val="center"/>
          </w:tcPr>
          <w:p>
            <w:pPr>
              <w:widowControl/>
              <w:spacing w:line="420" w:lineRule="exact"/>
              <w:jc w:val="center"/>
              <w:rPr>
                <w:rFonts w:ascii="宋体"/>
              </w:rPr>
            </w:pPr>
            <w:r>
              <w:rPr>
                <w:rFonts w:hint="eastAsia" w:ascii="宋体" w:hAnsi="宋体"/>
              </w:rPr>
              <w:t>良好</w:t>
            </w:r>
          </w:p>
        </w:tc>
        <w:tc>
          <w:tcPr>
            <w:tcW w:w="2163" w:type="dxa"/>
            <w:tcBorders>
              <w:top w:val="nil"/>
              <w:left w:val="nil"/>
              <w:bottom w:val="single" w:color="000000" w:sz="4" w:space="0"/>
              <w:right w:val="single" w:color="000000" w:sz="4" w:space="0"/>
            </w:tcBorders>
            <w:vAlign w:val="center"/>
          </w:tcPr>
          <w:p>
            <w:pPr>
              <w:widowControl/>
              <w:spacing w:line="420" w:lineRule="exact"/>
              <w:jc w:val="center"/>
              <w:rPr>
                <w:rFonts w:ascii="宋体"/>
              </w:rPr>
            </w:pPr>
            <w:r>
              <w:rPr>
                <w:rFonts w:hint="eastAsia" w:ascii="宋体" w:hAnsi="宋体"/>
              </w:rPr>
              <w:t>5个</w:t>
            </w:r>
          </w:p>
        </w:tc>
        <w:tc>
          <w:tcPr>
            <w:tcW w:w="1316" w:type="dxa"/>
            <w:tcBorders>
              <w:top w:val="nil"/>
              <w:left w:val="nil"/>
              <w:bottom w:val="single" w:color="000000" w:sz="4" w:space="0"/>
              <w:right w:val="single" w:color="000000" w:sz="4" w:space="0"/>
            </w:tcBorders>
            <w:vAlign w:val="center"/>
          </w:tcPr>
          <w:p>
            <w:pPr>
              <w:widowControl/>
              <w:spacing w:line="420" w:lineRule="exact"/>
              <w:jc w:val="center"/>
              <w:rPr>
                <w:rFonts w:ascii="宋体"/>
              </w:rPr>
            </w:pPr>
            <w:r>
              <w:rPr>
                <w:rFonts w:hint="eastAsia" w:ascii="宋体" w:hAnsi="宋体"/>
              </w:rPr>
              <w:t>较好</w:t>
            </w:r>
          </w:p>
        </w:tc>
      </w:tr>
      <w:tr>
        <w:tblPrEx>
          <w:tblCellMar>
            <w:top w:w="0" w:type="dxa"/>
            <w:left w:w="108" w:type="dxa"/>
            <w:bottom w:w="0" w:type="dxa"/>
            <w:right w:w="108" w:type="dxa"/>
          </w:tblCellMar>
        </w:tblPrEx>
        <w:trPr>
          <w:trHeight w:val="567" w:hRule="atLeast"/>
        </w:trPr>
        <w:tc>
          <w:tcPr>
            <w:tcW w:w="1861" w:type="dxa"/>
            <w:tcBorders>
              <w:top w:val="nil"/>
              <w:left w:val="single" w:color="auto" w:sz="4" w:space="0"/>
              <w:bottom w:val="single" w:color="auto" w:sz="4" w:space="0"/>
              <w:right w:val="single" w:color="auto" w:sz="4" w:space="0"/>
            </w:tcBorders>
            <w:vAlign w:val="center"/>
          </w:tcPr>
          <w:p>
            <w:pPr>
              <w:widowControl/>
              <w:spacing w:line="420" w:lineRule="exact"/>
              <w:jc w:val="center"/>
              <w:rPr>
                <w:rFonts w:ascii="宋体" w:cs="宋体"/>
                <w:kern w:val="0"/>
              </w:rPr>
            </w:pPr>
            <w:r>
              <w:rPr>
                <w:rFonts w:ascii="宋体" w:hAnsi="宋体" w:cs="宋体"/>
                <w:kern w:val="0"/>
              </w:rPr>
              <w:t>201</w:t>
            </w:r>
            <w:r>
              <w:rPr>
                <w:rFonts w:hint="eastAsia" w:ascii="宋体" w:hAnsi="宋体" w:cs="宋体"/>
                <w:kern w:val="0"/>
              </w:rPr>
              <w:t>9</w:t>
            </w:r>
            <w:r>
              <w:rPr>
                <w:rFonts w:ascii="宋体" w:hAnsi="宋体" w:cs="宋体"/>
                <w:kern w:val="0"/>
              </w:rPr>
              <w:t>-20</w:t>
            </w:r>
            <w:r>
              <w:rPr>
                <w:rFonts w:hint="eastAsia" w:ascii="宋体" w:hAnsi="宋体" w:cs="宋体"/>
                <w:kern w:val="0"/>
              </w:rPr>
              <w:t>20学年</w:t>
            </w:r>
          </w:p>
        </w:tc>
        <w:tc>
          <w:tcPr>
            <w:tcW w:w="2163" w:type="dxa"/>
            <w:tcBorders>
              <w:top w:val="nil"/>
              <w:left w:val="nil"/>
              <w:bottom w:val="single" w:color="000000" w:sz="4" w:space="0"/>
              <w:right w:val="single" w:color="000000" w:sz="4" w:space="0"/>
            </w:tcBorders>
            <w:vAlign w:val="center"/>
          </w:tcPr>
          <w:p>
            <w:pPr>
              <w:widowControl/>
              <w:spacing w:line="420" w:lineRule="exact"/>
              <w:jc w:val="center"/>
              <w:rPr>
                <w:rFonts w:ascii="宋体"/>
              </w:rPr>
            </w:pPr>
            <w:r>
              <w:rPr>
                <w:rFonts w:hint="eastAsia" w:ascii="宋体" w:hAnsi="宋体"/>
              </w:rPr>
              <w:t>6个</w:t>
            </w:r>
          </w:p>
        </w:tc>
        <w:tc>
          <w:tcPr>
            <w:tcW w:w="1353" w:type="dxa"/>
            <w:tcBorders>
              <w:top w:val="nil"/>
              <w:left w:val="nil"/>
              <w:bottom w:val="single" w:color="000000" w:sz="4" w:space="0"/>
              <w:right w:val="single" w:color="000000" w:sz="4" w:space="0"/>
            </w:tcBorders>
            <w:vAlign w:val="center"/>
          </w:tcPr>
          <w:p>
            <w:pPr>
              <w:widowControl/>
              <w:spacing w:line="420" w:lineRule="exact"/>
              <w:jc w:val="center"/>
              <w:rPr>
                <w:rFonts w:ascii="宋体"/>
              </w:rPr>
            </w:pPr>
            <w:r>
              <w:rPr>
                <w:rFonts w:hint="eastAsia" w:ascii="宋体" w:hAnsi="宋体"/>
              </w:rPr>
              <w:t>良好</w:t>
            </w:r>
          </w:p>
        </w:tc>
        <w:tc>
          <w:tcPr>
            <w:tcW w:w="2163" w:type="dxa"/>
            <w:tcBorders>
              <w:top w:val="nil"/>
              <w:left w:val="nil"/>
              <w:bottom w:val="single" w:color="000000" w:sz="4" w:space="0"/>
              <w:right w:val="single" w:color="000000" w:sz="4" w:space="0"/>
            </w:tcBorders>
            <w:vAlign w:val="center"/>
          </w:tcPr>
          <w:p>
            <w:pPr>
              <w:widowControl/>
              <w:spacing w:line="420" w:lineRule="exact"/>
              <w:jc w:val="center"/>
              <w:rPr>
                <w:rFonts w:ascii="宋体"/>
              </w:rPr>
            </w:pPr>
            <w:r>
              <w:rPr>
                <w:rFonts w:hint="eastAsia" w:ascii="宋体" w:hAnsi="宋体"/>
              </w:rPr>
              <w:t>5个</w:t>
            </w:r>
          </w:p>
        </w:tc>
        <w:tc>
          <w:tcPr>
            <w:tcW w:w="1316" w:type="dxa"/>
            <w:tcBorders>
              <w:top w:val="nil"/>
              <w:left w:val="nil"/>
              <w:bottom w:val="single" w:color="000000" w:sz="4" w:space="0"/>
              <w:right w:val="single" w:color="000000" w:sz="4" w:space="0"/>
            </w:tcBorders>
            <w:vAlign w:val="center"/>
          </w:tcPr>
          <w:p>
            <w:pPr>
              <w:widowControl/>
              <w:spacing w:line="420" w:lineRule="exact"/>
              <w:jc w:val="center"/>
              <w:rPr>
                <w:rFonts w:ascii="宋体"/>
              </w:rPr>
            </w:pPr>
            <w:r>
              <w:rPr>
                <w:rFonts w:hint="eastAsia" w:ascii="宋体" w:hAnsi="宋体"/>
              </w:rPr>
              <w:t>较好</w:t>
            </w:r>
          </w:p>
        </w:tc>
      </w:tr>
    </w:tbl>
    <w:p>
      <w:pPr>
        <w:spacing w:beforeLines="50" w:afterLines="50" w:line="340" w:lineRule="exact"/>
        <w:ind w:firstLine="420" w:firstLineChars="200"/>
        <w:rPr>
          <w:rFonts w:ascii="宋体"/>
          <w:sz w:val="24"/>
        </w:rPr>
      </w:pPr>
      <w:r>
        <w:rPr>
          <w:rFonts w:hint="eastAsia" w:ascii="宋体"/>
        </w:rPr>
        <w:t>表</w:t>
      </w:r>
      <w:r>
        <w:rPr>
          <w:rFonts w:ascii="宋体"/>
        </w:rPr>
        <w:t>10</w:t>
      </w:r>
      <w:r>
        <w:rPr>
          <w:rFonts w:hint="eastAsia" w:ascii="宋体"/>
        </w:rPr>
        <w:t>数据来源：学校招就办统计提供</w:t>
      </w:r>
    </w:p>
    <w:p>
      <w:pPr>
        <w:spacing w:beforeLines="50" w:afterLines="50" w:line="420" w:lineRule="exact"/>
        <w:jc w:val="center"/>
        <w:rPr>
          <w:rFonts w:ascii="宋体"/>
          <w:sz w:val="24"/>
        </w:rPr>
      </w:pPr>
    </w:p>
    <w:p>
      <w:pPr>
        <w:spacing w:beforeLines="50" w:afterLines="50" w:line="420" w:lineRule="exact"/>
        <w:jc w:val="center"/>
        <w:rPr>
          <w:rFonts w:ascii="宋体"/>
          <w:sz w:val="24"/>
        </w:rPr>
      </w:pPr>
      <w:r>
        <w:rPr>
          <w:rFonts w:hint="eastAsia" w:ascii="宋体" w:hAnsi="宋体"/>
          <w:sz w:val="24"/>
        </w:rPr>
        <w:t>表</w:t>
      </w:r>
      <w:r>
        <w:rPr>
          <w:rFonts w:ascii="宋体" w:hAnsi="宋体"/>
          <w:sz w:val="24"/>
        </w:rPr>
        <w:t>11</w:t>
      </w:r>
      <w:r>
        <w:rPr>
          <w:rFonts w:hint="eastAsia" w:ascii="宋体" w:hAnsi="宋体"/>
          <w:sz w:val="24"/>
        </w:rPr>
        <w:t>：校企合作情况一览表</w:t>
      </w:r>
    </w:p>
    <w:tbl>
      <w:tblPr>
        <w:tblStyle w:val="7"/>
        <w:tblW w:w="91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7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36" w:type="dxa"/>
            <w:vAlign w:val="center"/>
          </w:tcPr>
          <w:p>
            <w:pPr>
              <w:adjustRightInd w:val="0"/>
              <w:snapToGrid w:val="0"/>
              <w:jc w:val="center"/>
              <w:rPr>
                <w:rFonts w:ascii="宋体"/>
              </w:rPr>
            </w:pPr>
            <w:r>
              <w:rPr>
                <w:rFonts w:hint="eastAsia" w:ascii="宋体" w:hAnsi="宋体"/>
              </w:rPr>
              <w:t>专业</w:t>
            </w:r>
          </w:p>
        </w:tc>
        <w:tc>
          <w:tcPr>
            <w:tcW w:w="7324" w:type="dxa"/>
            <w:vAlign w:val="center"/>
          </w:tcPr>
          <w:p>
            <w:pPr>
              <w:adjustRightInd w:val="0"/>
              <w:snapToGrid w:val="0"/>
              <w:jc w:val="center"/>
              <w:rPr>
                <w:rFonts w:ascii="宋体"/>
              </w:rPr>
            </w:pPr>
            <w:r>
              <w:rPr>
                <w:rFonts w:hint="eastAsia" w:ascii="宋体" w:hAnsi="宋体"/>
              </w:rPr>
              <w:t>校企合作单位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836" w:type="dxa"/>
            <w:vAlign w:val="center"/>
          </w:tcPr>
          <w:p>
            <w:pPr>
              <w:adjustRightInd w:val="0"/>
              <w:snapToGrid w:val="0"/>
              <w:jc w:val="center"/>
              <w:rPr>
                <w:rFonts w:ascii="宋体" w:cs="宋体"/>
                <w:kern w:val="0"/>
              </w:rPr>
            </w:pPr>
            <w:r>
              <w:rPr>
                <w:rFonts w:hint="eastAsia" w:ascii="宋体" w:hAnsi="宋体" w:cs="宋体"/>
                <w:kern w:val="0"/>
              </w:rPr>
              <w:t>美术专业</w:t>
            </w:r>
          </w:p>
        </w:tc>
        <w:tc>
          <w:tcPr>
            <w:tcW w:w="7324" w:type="dxa"/>
            <w:vAlign w:val="center"/>
          </w:tcPr>
          <w:p>
            <w:pPr>
              <w:adjustRightInd w:val="0"/>
              <w:snapToGrid w:val="0"/>
              <w:jc w:val="left"/>
              <w:rPr>
                <w:rFonts w:ascii="宋体" w:cs="宋体"/>
                <w:kern w:val="0"/>
              </w:rPr>
            </w:pPr>
            <w:r>
              <w:rPr>
                <w:rFonts w:hint="eastAsia" w:ascii="宋体" w:cs="宋体"/>
                <w:kern w:val="0"/>
              </w:rPr>
              <w:t>福州美源工艺品有限公司</w:t>
            </w:r>
            <w:r>
              <w:rPr>
                <w:rFonts w:ascii="宋体" w:cs="宋体"/>
                <w:kern w:val="0"/>
              </w:rPr>
              <w:tab/>
            </w:r>
          </w:p>
          <w:p>
            <w:pPr>
              <w:adjustRightInd w:val="0"/>
              <w:snapToGrid w:val="0"/>
              <w:jc w:val="left"/>
              <w:rPr>
                <w:rFonts w:ascii="宋体" w:cs="宋体"/>
                <w:kern w:val="0"/>
              </w:rPr>
            </w:pPr>
            <w:r>
              <w:rPr>
                <w:rFonts w:hint="eastAsia" w:ascii="宋体" w:cs="宋体"/>
                <w:kern w:val="0"/>
              </w:rPr>
              <w:t>福建索佳艺陶瓷有限公司</w:t>
            </w:r>
          </w:p>
          <w:p>
            <w:pPr>
              <w:adjustRightInd w:val="0"/>
              <w:snapToGrid w:val="0"/>
              <w:jc w:val="left"/>
              <w:rPr>
                <w:rFonts w:ascii="宋体" w:cs="宋体"/>
                <w:kern w:val="0"/>
              </w:rPr>
            </w:pPr>
            <w:r>
              <w:rPr>
                <w:rFonts w:ascii="宋体" w:cs="宋体"/>
                <w:kern w:val="0"/>
              </w:rPr>
              <w:tab/>
            </w:r>
            <w:r>
              <w:rPr>
                <w:rFonts w:ascii="宋体" w:cs="宋体"/>
                <w:kern w:val="0"/>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836" w:type="dxa"/>
            <w:vAlign w:val="center"/>
          </w:tcPr>
          <w:p>
            <w:pPr>
              <w:adjustRightInd w:val="0"/>
              <w:snapToGrid w:val="0"/>
              <w:jc w:val="center"/>
              <w:rPr>
                <w:rFonts w:ascii="宋体"/>
              </w:rPr>
            </w:pPr>
            <w:r>
              <w:rPr>
                <w:rFonts w:hint="eastAsia" w:ascii="宋体" w:hAnsi="宋体"/>
              </w:rPr>
              <w:t>民族工艺品制作（民族陶艺）专业（</w:t>
            </w:r>
            <w:r>
              <w:rPr>
                <w:rFonts w:ascii="宋体" w:hAnsi="宋体"/>
              </w:rPr>
              <w:t>2017</w:t>
            </w:r>
            <w:r>
              <w:rPr>
                <w:rFonts w:hint="eastAsia" w:ascii="宋体" w:hAnsi="宋体"/>
              </w:rPr>
              <w:t>级）</w:t>
            </w:r>
          </w:p>
          <w:p>
            <w:pPr>
              <w:adjustRightInd w:val="0"/>
              <w:snapToGrid w:val="0"/>
              <w:jc w:val="center"/>
              <w:rPr>
                <w:rFonts w:ascii="宋体" w:cs="宋体"/>
                <w:kern w:val="0"/>
              </w:rPr>
            </w:pPr>
            <w:r>
              <w:rPr>
                <w:rFonts w:ascii="宋体" w:hAnsi="宋体" w:cs="宋体"/>
                <w:kern w:val="0"/>
              </w:rPr>
              <w:t>2018</w:t>
            </w:r>
            <w:r>
              <w:rPr>
                <w:rFonts w:hint="eastAsia" w:ascii="宋体" w:hAnsi="宋体" w:cs="宋体"/>
                <w:kern w:val="0"/>
              </w:rPr>
              <w:t>级</w:t>
            </w:r>
            <w:r>
              <w:rPr>
                <w:rFonts w:hint="eastAsia" w:ascii="宋体" w:hAnsi="宋体"/>
              </w:rPr>
              <w:t>工艺美术（装潢设计与制作）专业</w:t>
            </w:r>
          </w:p>
        </w:tc>
        <w:tc>
          <w:tcPr>
            <w:tcW w:w="7324" w:type="dxa"/>
            <w:vAlign w:val="center"/>
          </w:tcPr>
          <w:p>
            <w:pPr>
              <w:adjustRightInd w:val="0"/>
              <w:snapToGrid w:val="0"/>
              <w:spacing w:line="480" w:lineRule="exact"/>
              <w:jc w:val="left"/>
              <w:rPr>
                <w:rFonts w:ascii="宋体" w:cs="宋体"/>
                <w:kern w:val="0"/>
              </w:rPr>
            </w:pPr>
            <w:r>
              <w:rPr>
                <w:rFonts w:hint="eastAsia" w:ascii="宋体" w:cs="宋体"/>
                <w:kern w:val="0"/>
              </w:rPr>
              <w:t>福建索佳艺陶瓷有限公司（学校第一批现代学徒制试点三年级）</w:t>
            </w:r>
          </w:p>
          <w:p>
            <w:pPr>
              <w:adjustRightInd w:val="0"/>
              <w:snapToGrid w:val="0"/>
              <w:spacing w:line="480" w:lineRule="exact"/>
              <w:jc w:val="left"/>
              <w:rPr>
                <w:rFonts w:ascii="宋体" w:cs="宋体"/>
                <w:kern w:val="0"/>
              </w:rPr>
            </w:pPr>
            <w:r>
              <w:rPr>
                <w:rFonts w:hint="eastAsia" w:ascii="宋体" w:hAnsi="宋体" w:cs="宋体"/>
                <w:kern w:val="0"/>
              </w:rPr>
              <w:t>福州美源工艺品有限公司</w:t>
            </w:r>
            <w:r>
              <w:rPr>
                <w:rFonts w:hint="eastAsia" w:ascii="宋体" w:cs="宋体"/>
                <w:kern w:val="0"/>
              </w:rPr>
              <w:t>（学校第二批现代学徒制试点二年级）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836" w:type="dxa"/>
            <w:vAlign w:val="center"/>
          </w:tcPr>
          <w:p>
            <w:pPr>
              <w:adjustRightInd w:val="0"/>
              <w:snapToGrid w:val="0"/>
              <w:jc w:val="center"/>
              <w:rPr>
                <w:rFonts w:ascii="宋体" w:cs="宋体"/>
                <w:kern w:val="0"/>
              </w:rPr>
            </w:pPr>
            <w:r>
              <w:rPr>
                <w:rFonts w:hint="eastAsia" w:ascii="宋体" w:hAnsi="宋体" w:cs="宋体"/>
                <w:kern w:val="0"/>
              </w:rPr>
              <w:t>学前教育专业</w:t>
            </w:r>
          </w:p>
        </w:tc>
        <w:tc>
          <w:tcPr>
            <w:tcW w:w="7324" w:type="dxa"/>
            <w:vAlign w:val="center"/>
          </w:tcPr>
          <w:p>
            <w:pPr>
              <w:adjustRightInd w:val="0"/>
              <w:snapToGrid w:val="0"/>
              <w:jc w:val="left"/>
              <w:rPr>
                <w:rFonts w:ascii="宋体" w:cs="宋体"/>
                <w:kern w:val="0"/>
              </w:rPr>
            </w:pPr>
            <w:r>
              <w:rPr>
                <w:rFonts w:hint="eastAsia" w:ascii="宋体" w:cs="宋体"/>
                <w:kern w:val="0"/>
              </w:rPr>
              <w:t>闽侯县南屿私立蓓蕾幼儿园</w:t>
            </w:r>
            <w:r>
              <w:rPr>
                <w:rFonts w:ascii="宋体" w:cs="宋体"/>
                <w:kern w:val="0"/>
              </w:rPr>
              <w:tab/>
            </w:r>
            <w:r>
              <w:rPr>
                <w:rFonts w:ascii="宋体" w:cs="宋体"/>
                <w:kern w:val="0"/>
              </w:rPr>
              <w:tab/>
            </w:r>
            <w:r>
              <w:rPr>
                <w:rFonts w:hint="eastAsia" w:ascii="宋体" w:cs="宋体"/>
                <w:kern w:val="0"/>
              </w:rPr>
              <w:t>闽侯县南屿私立月亮船幼儿园</w:t>
            </w:r>
            <w:r>
              <w:rPr>
                <w:rFonts w:ascii="宋体" w:cs="宋体"/>
                <w:kern w:val="0"/>
              </w:rPr>
              <w:tab/>
            </w:r>
          </w:p>
          <w:p>
            <w:pPr>
              <w:adjustRightInd w:val="0"/>
              <w:snapToGrid w:val="0"/>
              <w:jc w:val="left"/>
              <w:rPr>
                <w:rFonts w:ascii="宋体" w:cs="宋体"/>
                <w:kern w:val="0"/>
              </w:rPr>
            </w:pPr>
            <w:r>
              <w:rPr>
                <w:rFonts w:hint="eastAsia" w:ascii="宋体" w:cs="宋体"/>
                <w:kern w:val="0"/>
              </w:rPr>
              <w:t>闽侯县南屿私立秀光幼儿园</w:t>
            </w:r>
            <w:r>
              <w:rPr>
                <w:rFonts w:ascii="宋体" w:cs="宋体"/>
                <w:kern w:val="0"/>
              </w:rPr>
              <w:tab/>
            </w:r>
            <w:r>
              <w:rPr>
                <w:rFonts w:ascii="宋体" w:cs="宋体"/>
                <w:kern w:val="0"/>
              </w:rPr>
              <w:tab/>
            </w:r>
            <w:r>
              <w:rPr>
                <w:rFonts w:hint="eastAsia" w:ascii="宋体" w:cs="宋体"/>
                <w:kern w:val="0"/>
              </w:rPr>
              <w:t>闽侯县南屿私立小燕子幼儿园</w:t>
            </w:r>
          </w:p>
          <w:p>
            <w:pPr>
              <w:adjustRightInd w:val="0"/>
              <w:snapToGrid w:val="0"/>
              <w:jc w:val="left"/>
              <w:rPr>
                <w:rFonts w:ascii="宋体" w:cs="宋体"/>
                <w:kern w:val="0"/>
              </w:rPr>
            </w:pPr>
            <w:r>
              <w:rPr>
                <w:rFonts w:hint="eastAsia" w:ascii="宋体" w:cs="宋体"/>
                <w:kern w:val="0"/>
              </w:rPr>
              <w:t>闽侯县南屿私立智慧树幼儿园      闽侯县南屿私立星浪幼儿园</w:t>
            </w:r>
          </w:p>
          <w:p>
            <w:pPr>
              <w:adjustRightInd w:val="0"/>
              <w:snapToGrid w:val="0"/>
              <w:jc w:val="left"/>
              <w:rPr>
                <w:rFonts w:ascii="宋体" w:cs="宋体"/>
                <w:kern w:val="0"/>
              </w:rPr>
            </w:pPr>
            <w:r>
              <w:rPr>
                <w:rFonts w:hint="eastAsia" w:ascii="宋体" w:cs="宋体"/>
                <w:kern w:val="0"/>
              </w:rPr>
              <w:t>闽侯县南屿私立红星幼儿园</w:t>
            </w:r>
          </w:p>
          <w:p>
            <w:pPr>
              <w:adjustRightInd w:val="0"/>
              <w:snapToGrid w:val="0"/>
              <w:jc w:val="left"/>
              <w:rPr>
                <w:rFonts w:ascii="宋体" w:cs="宋体"/>
                <w:kern w:val="0"/>
              </w:rPr>
            </w:pPr>
            <w:r>
              <w:rPr>
                <w:rFonts w:hint="eastAsia" w:ascii="宋体" w:cs="宋体"/>
                <w:kern w:val="0"/>
              </w:rPr>
              <w:t>福州高新区儿童学园（公办）</w:t>
            </w:r>
            <w:r>
              <w:rPr>
                <w:rFonts w:ascii="宋体" w:cs="宋体"/>
                <w:kern w:val="0"/>
              </w:rPr>
              <w:t xml:space="preserve">       </w:t>
            </w:r>
            <w:r>
              <w:rPr>
                <w:rFonts w:hint="eastAsia" w:ascii="宋体" w:cs="宋体"/>
                <w:kern w:val="0"/>
              </w:rPr>
              <w:t>福州高新区南屿中心园（公办）</w:t>
            </w:r>
          </w:p>
        </w:tc>
      </w:tr>
    </w:tbl>
    <w:p>
      <w:pPr>
        <w:ind w:firstLine="308" w:firstLineChars="147"/>
        <w:rPr>
          <w:rFonts w:ascii="宋体"/>
          <w:b/>
          <w:sz w:val="28"/>
          <w:szCs w:val="28"/>
        </w:rPr>
      </w:pPr>
      <w:r>
        <w:rPr>
          <w:rFonts w:hint="eastAsia" w:ascii="宋体"/>
        </w:rPr>
        <w:t>表</w:t>
      </w:r>
      <w:r>
        <w:rPr>
          <w:rFonts w:ascii="宋体"/>
        </w:rPr>
        <w:t>11</w:t>
      </w:r>
      <w:r>
        <w:rPr>
          <w:rFonts w:hint="eastAsia" w:ascii="宋体"/>
        </w:rPr>
        <w:t>数据来源：学校招就办统计提供</w:t>
      </w:r>
    </w:p>
    <w:p>
      <w:pPr>
        <w:ind w:firstLine="413" w:firstLineChars="147"/>
        <w:rPr>
          <w:rFonts w:ascii="宋体"/>
          <w:b/>
          <w:sz w:val="28"/>
          <w:szCs w:val="28"/>
        </w:rPr>
      </w:pPr>
    </w:p>
    <w:p>
      <w:pPr>
        <w:ind w:firstLine="413" w:firstLineChars="147"/>
        <w:rPr>
          <w:rFonts w:ascii="宋体"/>
          <w:b/>
          <w:sz w:val="28"/>
          <w:szCs w:val="28"/>
        </w:rPr>
      </w:pPr>
      <w:r>
        <w:rPr>
          <w:rFonts w:ascii="宋体" w:hAnsi="宋体"/>
          <w:b/>
          <w:sz w:val="28"/>
          <w:szCs w:val="28"/>
        </w:rPr>
        <w:t xml:space="preserve">4.2 </w:t>
      </w:r>
      <w:r>
        <w:rPr>
          <w:rFonts w:hint="eastAsia" w:ascii="宋体" w:hAnsi="宋体"/>
          <w:b/>
          <w:sz w:val="28"/>
          <w:szCs w:val="28"/>
        </w:rPr>
        <w:t>学生实习情况</w:t>
      </w:r>
    </w:p>
    <w:p>
      <w:pPr>
        <w:spacing w:beforeLines="50" w:afterLines="50" w:line="420" w:lineRule="exact"/>
        <w:ind w:firstLine="355" w:firstLineChars="148"/>
        <w:rPr>
          <w:rFonts w:hint="eastAsia" w:ascii="宋体" w:hAnsi="宋体" w:cs="宋体"/>
          <w:kern w:val="0"/>
          <w:sz w:val="24"/>
          <w:szCs w:val="24"/>
        </w:rPr>
      </w:pPr>
      <w:r>
        <w:rPr>
          <w:rFonts w:hint="eastAsia" w:ascii="宋体" w:hAnsi="宋体" w:cs="宋体"/>
          <w:kern w:val="0"/>
          <w:sz w:val="24"/>
          <w:szCs w:val="24"/>
        </w:rPr>
        <w:t>因受疫情的影响，2020年2017级学生的实习暂停实施。</w:t>
      </w:r>
    </w:p>
    <w:p>
      <w:pPr>
        <w:spacing w:beforeLines="50" w:afterLines="50" w:line="420" w:lineRule="exact"/>
        <w:ind w:firstLine="416" w:firstLineChars="148"/>
        <w:rPr>
          <w:rFonts w:hint="eastAsia" w:ascii="宋体" w:hAnsi="宋体"/>
          <w:b/>
          <w:sz w:val="28"/>
          <w:szCs w:val="28"/>
        </w:rPr>
      </w:pPr>
    </w:p>
    <w:p>
      <w:pPr>
        <w:spacing w:beforeLines="50" w:afterLines="50" w:line="420" w:lineRule="exact"/>
        <w:ind w:firstLine="416" w:firstLineChars="148"/>
        <w:rPr>
          <w:rFonts w:ascii="宋体"/>
          <w:b/>
          <w:sz w:val="28"/>
          <w:szCs w:val="28"/>
        </w:rPr>
      </w:pPr>
      <w:r>
        <w:rPr>
          <w:rFonts w:ascii="宋体" w:hAnsi="宋体"/>
          <w:b/>
          <w:sz w:val="28"/>
          <w:szCs w:val="28"/>
        </w:rPr>
        <w:t xml:space="preserve">4.3 </w:t>
      </w:r>
      <w:r>
        <w:rPr>
          <w:rFonts w:hint="eastAsia" w:ascii="宋体" w:hAnsi="宋体"/>
          <w:b/>
          <w:sz w:val="28"/>
          <w:szCs w:val="28"/>
        </w:rPr>
        <w:t>集团化办学情况</w:t>
      </w:r>
    </w:p>
    <w:p>
      <w:pPr>
        <w:spacing w:line="400" w:lineRule="exact"/>
        <w:ind w:firstLine="480" w:firstLineChars="200"/>
        <w:rPr>
          <w:rFonts w:ascii="宋体"/>
          <w:sz w:val="24"/>
          <w:szCs w:val="24"/>
        </w:rPr>
      </w:pPr>
      <w:r>
        <w:rPr>
          <w:rFonts w:hint="eastAsia" w:ascii="宋体" w:hAnsi="宋体"/>
          <w:sz w:val="24"/>
          <w:szCs w:val="24"/>
        </w:rPr>
        <w:t>学校</w:t>
      </w:r>
      <w:r>
        <w:rPr>
          <w:rFonts w:hint="eastAsia" w:ascii="宋体" w:hAnsi="宋体" w:cs="宋体"/>
          <w:kern w:val="0"/>
          <w:sz w:val="24"/>
          <w:szCs w:val="24"/>
        </w:rPr>
        <w:t>依托</w:t>
      </w:r>
      <w:r>
        <w:rPr>
          <w:rFonts w:hint="eastAsia" w:ascii="宋体" w:hAnsi="宋体"/>
          <w:bCs/>
          <w:sz w:val="24"/>
          <w:szCs w:val="24"/>
        </w:rPr>
        <w:t>福州文化艺术职业教育集团，</w:t>
      </w:r>
      <w:r>
        <w:rPr>
          <w:rFonts w:hint="eastAsia" w:ascii="宋体" w:hAnsi="宋体"/>
          <w:sz w:val="24"/>
          <w:szCs w:val="24"/>
        </w:rPr>
        <w:t>积极拓展校企合作渠道，加强与集团内企业、成员校之间的交流合作。通过开展专业调研、师资交流、专家讲座、技能培训、专题研讨等活动，共同推进校企合作、校校合作。</w:t>
      </w:r>
    </w:p>
    <w:p>
      <w:pPr>
        <w:spacing w:line="400" w:lineRule="exact"/>
        <w:ind w:firstLine="480" w:firstLineChars="200"/>
        <w:rPr>
          <w:rFonts w:ascii="宋体"/>
          <w:sz w:val="24"/>
        </w:rPr>
      </w:pPr>
      <w:r>
        <w:rPr>
          <w:rFonts w:hint="eastAsia" w:ascii="宋体" w:hAnsi="宋体"/>
          <w:sz w:val="24"/>
        </w:rPr>
        <w:t>通过校企合作，借鉴企业优秀文化推动学校校园文化建设，聘请企业生产人员指导学生开展实习实训，把企业的文化理念渗透到教学中。</w:t>
      </w:r>
    </w:p>
    <w:p>
      <w:pPr>
        <w:spacing w:line="420" w:lineRule="exact"/>
        <w:ind w:firstLine="480" w:firstLineChars="200"/>
        <w:rPr>
          <w:rFonts w:ascii="宋体"/>
          <w:sz w:val="24"/>
        </w:rPr>
      </w:pPr>
      <w:r>
        <w:rPr>
          <w:rFonts w:hint="eastAsia" w:ascii="宋体" w:cs="仿宋"/>
          <w:bCs/>
          <w:kern w:val="0"/>
          <w:sz w:val="24"/>
          <w:szCs w:val="24"/>
        </w:rPr>
        <w:t>以上实施主要在2019年下半年。</w:t>
      </w:r>
    </w:p>
    <w:tbl>
      <w:tblPr>
        <w:tblStyle w:val="7"/>
        <w:tblW w:w="8856" w:type="dxa"/>
        <w:tblInd w:w="0" w:type="dxa"/>
        <w:tblLayout w:type="fixed"/>
        <w:tblCellMar>
          <w:top w:w="0" w:type="dxa"/>
          <w:left w:w="108" w:type="dxa"/>
          <w:bottom w:w="0" w:type="dxa"/>
          <w:right w:w="108" w:type="dxa"/>
        </w:tblCellMar>
      </w:tblPr>
      <w:tblGrid>
        <w:gridCol w:w="1716"/>
        <w:gridCol w:w="1454"/>
        <w:gridCol w:w="1357"/>
        <w:gridCol w:w="1424"/>
        <w:gridCol w:w="1532"/>
        <w:gridCol w:w="1373"/>
      </w:tblGrid>
      <w:tr>
        <w:tblPrEx>
          <w:tblCellMar>
            <w:top w:w="0" w:type="dxa"/>
            <w:left w:w="108" w:type="dxa"/>
            <w:bottom w:w="0" w:type="dxa"/>
            <w:right w:w="108" w:type="dxa"/>
          </w:tblCellMar>
        </w:tblPrEx>
        <w:trPr>
          <w:trHeight w:val="375" w:hRule="atLeast"/>
        </w:trPr>
        <w:tc>
          <w:tcPr>
            <w:tcW w:w="8856" w:type="dxa"/>
            <w:gridSpan w:val="6"/>
            <w:tcBorders>
              <w:top w:val="nil"/>
              <w:left w:val="nil"/>
              <w:bottom w:val="nil"/>
              <w:right w:val="nil"/>
            </w:tcBorders>
            <w:vAlign w:val="center"/>
          </w:tcPr>
          <w:p>
            <w:pPr>
              <w:spacing w:beforeLines="50" w:afterLines="50" w:line="420" w:lineRule="exact"/>
              <w:jc w:val="center"/>
              <w:rPr>
                <w:rFonts w:ascii="宋体"/>
                <w:sz w:val="24"/>
              </w:rPr>
            </w:pPr>
            <w:r>
              <w:rPr>
                <w:rFonts w:hint="eastAsia" w:ascii="宋体" w:hAnsi="宋体"/>
                <w:sz w:val="24"/>
              </w:rPr>
              <w:t>表</w:t>
            </w:r>
            <w:r>
              <w:rPr>
                <w:rFonts w:ascii="宋体" w:hAnsi="宋体"/>
                <w:sz w:val="24"/>
              </w:rPr>
              <w:t>12</w:t>
            </w:r>
            <w:r>
              <w:rPr>
                <w:rFonts w:hint="eastAsia" w:ascii="宋体" w:hAnsi="宋体"/>
                <w:sz w:val="24"/>
              </w:rPr>
              <w:t>：集团化办学情况统计</w:t>
            </w:r>
          </w:p>
        </w:tc>
      </w:tr>
      <w:tr>
        <w:tblPrEx>
          <w:tblCellMar>
            <w:top w:w="0" w:type="dxa"/>
            <w:left w:w="108" w:type="dxa"/>
            <w:bottom w:w="0" w:type="dxa"/>
            <w:right w:w="108" w:type="dxa"/>
          </w:tblCellMar>
        </w:tblPrEx>
        <w:trPr>
          <w:trHeight w:val="680" w:hRule="atLeast"/>
        </w:trPr>
        <w:tc>
          <w:tcPr>
            <w:tcW w:w="17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cs="宋体"/>
                <w:kern w:val="0"/>
              </w:rPr>
            </w:pPr>
            <w:r>
              <w:rPr>
                <w:rFonts w:hint="eastAsia" w:ascii="宋体" w:hAnsi="宋体" w:cs="宋体"/>
                <w:kern w:val="0"/>
              </w:rPr>
              <w:t>年份</w:t>
            </w:r>
          </w:p>
        </w:tc>
        <w:tc>
          <w:tcPr>
            <w:tcW w:w="1454" w:type="dxa"/>
            <w:tcBorders>
              <w:top w:val="single" w:color="auto" w:sz="4" w:space="0"/>
              <w:left w:val="nil"/>
              <w:bottom w:val="single" w:color="auto" w:sz="4" w:space="0"/>
              <w:right w:val="single" w:color="auto" w:sz="4" w:space="0"/>
            </w:tcBorders>
            <w:vAlign w:val="center"/>
          </w:tcPr>
          <w:p>
            <w:pPr>
              <w:widowControl/>
              <w:jc w:val="center"/>
              <w:rPr>
                <w:rFonts w:ascii="宋体" w:cs="宋体"/>
                <w:bCs/>
                <w:kern w:val="0"/>
              </w:rPr>
            </w:pPr>
            <w:r>
              <w:rPr>
                <w:rFonts w:hint="eastAsia" w:ascii="宋体" w:hAnsi="宋体" w:cs="宋体"/>
                <w:bCs/>
                <w:kern w:val="0"/>
              </w:rPr>
              <w:t>参加职教集团数（个）</w:t>
            </w:r>
          </w:p>
        </w:tc>
        <w:tc>
          <w:tcPr>
            <w:tcW w:w="1357" w:type="dxa"/>
            <w:tcBorders>
              <w:top w:val="single" w:color="auto" w:sz="4" w:space="0"/>
              <w:left w:val="nil"/>
              <w:bottom w:val="single" w:color="auto" w:sz="4" w:space="0"/>
              <w:right w:val="single" w:color="auto" w:sz="4" w:space="0"/>
            </w:tcBorders>
            <w:vAlign w:val="center"/>
          </w:tcPr>
          <w:p>
            <w:pPr>
              <w:widowControl/>
              <w:jc w:val="center"/>
              <w:rPr>
                <w:rFonts w:ascii="宋体" w:cs="宋体"/>
                <w:bCs/>
                <w:kern w:val="0"/>
              </w:rPr>
            </w:pPr>
            <w:r>
              <w:rPr>
                <w:rFonts w:hint="eastAsia" w:ascii="宋体" w:hAnsi="宋体" w:cs="宋体"/>
                <w:bCs/>
                <w:kern w:val="0"/>
              </w:rPr>
              <w:t>集团企业学生就业数（个）</w:t>
            </w:r>
          </w:p>
        </w:tc>
        <w:tc>
          <w:tcPr>
            <w:tcW w:w="1424" w:type="dxa"/>
            <w:tcBorders>
              <w:top w:val="single" w:color="auto" w:sz="4" w:space="0"/>
              <w:left w:val="nil"/>
              <w:bottom w:val="single" w:color="auto" w:sz="4" w:space="0"/>
              <w:right w:val="single" w:color="auto" w:sz="4" w:space="0"/>
            </w:tcBorders>
            <w:vAlign w:val="center"/>
          </w:tcPr>
          <w:p>
            <w:pPr>
              <w:widowControl/>
              <w:jc w:val="center"/>
              <w:rPr>
                <w:rFonts w:ascii="宋体" w:cs="宋体"/>
                <w:bCs/>
                <w:kern w:val="0"/>
              </w:rPr>
            </w:pPr>
            <w:r>
              <w:rPr>
                <w:rFonts w:hint="eastAsia" w:ascii="宋体" w:hAnsi="宋体" w:cs="宋体"/>
                <w:bCs/>
                <w:kern w:val="0"/>
              </w:rPr>
              <w:t>集团密切合作专业数（个）</w:t>
            </w:r>
          </w:p>
        </w:tc>
        <w:tc>
          <w:tcPr>
            <w:tcW w:w="1532" w:type="dxa"/>
            <w:tcBorders>
              <w:top w:val="single" w:color="auto" w:sz="4" w:space="0"/>
              <w:left w:val="nil"/>
              <w:bottom w:val="single" w:color="auto" w:sz="4" w:space="0"/>
              <w:right w:val="single" w:color="auto" w:sz="4" w:space="0"/>
            </w:tcBorders>
            <w:vAlign w:val="center"/>
          </w:tcPr>
          <w:p>
            <w:pPr>
              <w:widowControl/>
              <w:jc w:val="center"/>
              <w:rPr>
                <w:rFonts w:ascii="宋体" w:cs="宋体"/>
                <w:bCs/>
                <w:kern w:val="0"/>
              </w:rPr>
            </w:pPr>
            <w:r>
              <w:rPr>
                <w:rFonts w:hint="eastAsia" w:ascii="宋体" w:hAnsi="宋体" w:cs="宋体"/>
                <w:bCs/>
                <w:kern w:val="0"/>
              </w:rPr>
              <w:t>集团内企业实习学生数（个）</w:t>
            </w:r>
          </w:p>
        </w:tc>
        <w:tc>
          <w:tcPr>
            <w:tcW w:w="1373" w:type="dxa"/>
            <w:tcBorders>
              <w:top w:val="single" w:color="auto" w:sz="4" w:space="0"/>
              <w:left w:val="nil"/>
              <w:bottom w:val="single" w:color="auto" w:sz="4" w:space="0"/>
              <w:right w:val="single" w:color="auto" w:sz="4" w:space="0"/>
            </w:tcBorders>
            <w:vAlign w:val="center"/>
          </w:tcPr>
          <w:p>
            <w:pPr>
              <w:widowControl/>
              <w:jc w:val="center"/>
              <w:rPr>
                <w:rFonts w:ascii="宋体" w:cs="宋体"/>
                <w:bCs/>
                <w:kern w:val="0"/>
              </w:rPr>
            </w:pPr>
            <w:r>
              <w:rPr>
                <w:rFonts w:hint="eastAsia" w:ascii="宋体" w:hAnsi="宋体" w:cs="宋体"/>
                <w:bCs/>
                <w:kern w:val="0"/>
              </w:rPr>
              <w:t>集团企业实践教师数（个）</w:t>
            </w:r>
          </w:p>
        </w:tc>
      </w:tr>
      <w:tr>
        <w:tblPrEx>
          <w:tblCellMar>
            <w:top w:w="0" w:type="dxa"/>
            <w:left w:w="108" w:type="dxa"/>
            <w:bottom w:w="0" w:type="dxa"/>
            <w:right w:w="108" w:type="dxa"/>
          </w:tblCellMar>
        </w:tblPrEx>
        <w:trPr>
          <w:trHeight w:val="454" w:hRule="atLeast"/>
        </w:trPr>
        <w:tc>
          <w:tcPr>
            <w:tcW w:w="1716"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rPr>
            </w:pPr>
            <w:r>
              <w:rPr>
                <w:rFonts w:ascii="宋体" w:hAnsi="宋体" w:cs="宋体"/>
                <w:kern w:val="0"/>
              </w:rPr>
              <w:t>201</w:t>
            </w:r>
            <w:r>
              <w:rPr>
                <w:rFonts w:hint="eastAsia" w:ascii="宋体" w:hAnsi="宋体" w:cs="宋体"/>
                <w:kern w:val="0"/>
              </w:rPr>
              <w:t>8</w:t>
            </w:r>
            <w:r>
              <w:rPr>
                <w:rFonts w:ascii="宋体" w:hAnsi="宋体" w:cs="宋体"/>
                <w:kern w:val="0"/>
              </w:rPr>
              <w:t>-201</w:t>
            </w:r>
            <w:r>
              <w:rPr>
                <w:rFonts w:hint="eastAsia" w:ascii="宋体" w:hAnsi="宋体" w:cs="宋体"/>
                <w:kern w:val="0"/>
              </w:rPr>
              <w:t>9学年</w:t>
            </w:r>
          </w:p>
        </w:tc>
        <w:tc>
          <w:tcPr>
            <w:tcW w:w="1454"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1</w:t>
            </w:r>
          </w:p>
        </w:tc>
        <w:tc>
          <w:tcPr>
            <w:tcW w:w="1357"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20</w:t>
            </w:r>
          </w:p>
        </w:tc>
        <w:tc>
          <w:tcPr>
            <w:tcW w:w="1424"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2</w:t>
            </w:r>
          </w:p>
        </w:tc>
        <w:tc>
          <w:tcPr>
            <w:tcW w:w="1532"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31</w:t>
            </w:r>
          </w:p>
        </w:tc>
        <w:tc>
          <w:tcPr>
            <w:tcW w:w="1373"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16</w:t>
            </w:r>
          </w:p>
        </w:tc>
      </w:tr>
      <w:tr>
        <w:tblPrEx>
          <w:tblCellMar>
            <w:top w:w="0" w:type="dxa"/>
            <w:left w:w="108" w:type="dxa"/>
            <w:bottom w:w="0" w:type="dxa"/>
            <w:right w:w="108" w:type="dxa"/>
          </w:tblCellMar>
        </w:tblPrEx>
        <w:trPr>
          <w:trHeight w:val="454" w:hRule="atLeast"/>
        </w:trPr>
        <w:tc>
          <w:tcPr>
            <w:tcW w:w="1716" w:type="dxa"/>
            <w:tcBorders>
              <w:top w:val="nil"/>
              <w:left w:val="single" w:color="auto" w:sz="4" w:space="0"/>
              <w:bottom w:val="single" w:color="auto" w:sz="4" w:space="0"/>
              <w:right w:val="single" w:color="auto" w:sz="4" w:space="0"/>
            </w:tcBorders>
            <w:vAlign w:val="center"/>
          </w:tcPr>
          <w:p>
            <w:pPr>
              <w:widowControl/>
              <w:jc w:val="center"/>
              <w:rPr>
                <w:rFonts w:ascii="宋体" w:cs="宋体"/>
                <w:kern w:val="0"/>
              </w:rPr>
            </w:pPr>
            <w:r>
              <w:rPr>
                <w:rFonts w:ascii="宋体" w:hAnsi="宋体" w:cs="宋体"/>
                <w:kern w:val="0"/>
              </w:rPr>
              <w:t>201</w:t>
            </w:r>
            <w:r>
              <w:rPr>
                <w:rFonts w:hint="eastAsia" w:ascii="宋体" w:hAnsi="宋体" w:cs="宋体"/>
                <w:kern w:val="0"/>
              </w:rPr>
              <w:t>9</w:t>
            </w:r>
            <w:r>
              <w:rPr>
                <w:rFonts w:ascii="宋体" w:hAnsi="宋体" w:cs="宋体"/>
                <w:kern w:val="0"/>
              </w:rPr>
              <w:t>-20</w:t>
            </w:r>
            <w:r>
              <w:rPr>
                <w:rFonts w:hint="eastAsia" w:ascii="宋体" w:hAnsi="宋体" w:cs="宋体"/>
                <w:kern w:val="0"/>
              </w:rPr>
              <w:t>20学年</w:t>
            </w:r>
          </w:p>
        </w:tc>
        <w:tc>
          <w:tcPr>
            <w:tcW w:w="1454"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1</w:t>
            </w:r>
          </w:p>
        </w:tc>
        <w:tc>
          <w:tcPr>
            <w:tcW w:w="1357"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23</w:t>
            </w:r>
          </w:p>
        </w:tc>
        <w:tc>
          <w:tcPr>
            <w:tcW w:w="1424"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2</w:t>
            </w:r>
          </w:p>
        </w:tc>
        <w:tc>
          <w:tcPr>
            <w:tcW w:w="1532"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58</w:t>
            </w:r>
          </w:p>
        </w:tc>
        <w:tc>
          <w:tcPr>
            <w:tcW w:w="1373" w:type="dxa"/>
            <w:tcBorders>
              <w:top w:val="nil"/>
              <w:left w:val="nil"/>
              <w:bottom w:val="single" w:color="000000" w:sz="4" w:space="0"/>
              <w:right w:val="single" w:color="000000" w:sz="4" w:space="0"/>
            </w:tcBorders>
            <w:vAlign w:val="center"/>
          </w:tcPr>
          <w:p>
            <w:pPr>
              <w:widowControl/>
              <w:jc w:val="center"/>
              <w:rPr>
                <w:rFonts w:ascii="宋体"/>
              </w:rPr>
            </w:pPr>
            <w:r>
              <w:rPr>
                <w:rFonts w:hint="eastAsia" w:ascii="宋体" w:hAnsi="宋体"/>
              </w:rPr>
              <w:t>16</w:t>
            </w:r>
          </w:p>
        </w:tc>
      </w:tr>
    </w:tbl>
    <w:p>
      <w:pPr>
        <w:spacing w:line="420" w:lineRule="exact"/>
        <w:ind w:firstLine="420" w:firstLineChars="200"/>
        <w:rPr>
          <w:rFonts w:ascii="??_GB2312" w:hAnsi="仿宋" w:eastAsia="Times New Roman"/>
          <w:sz w:val="30"/>
          <w:szCs w:val="30"/>
        </w:rPr>
      </w:pPr>
      <w:r>
        <w:rPr>
          <w:rFonts w:hint="eastAsia" w:ascii="宋体"/>
        </w:rPr>
        <w:t>表</w:t>
      </w:r>
      <w:r>
        <w:rPr>
          <w:rFonts w:ascii="宋体"/>
        </w:rPr>
        <w:t>12</w:t>
      </w:r>
      <w:r>
        <w:rPr>
          <w:rFonts w:hint="eastAsia" w:ascii="宋体"/>
        </w:rPr>
        <w:t>数据来源：学校招就办统计提供</w:t>
      </w:r>
    </w:p>
    <w:p>
      <w:pPr>
        <w:spacing w:line="360" w:lineRule="auto"/>
        <w:ind w:firstLine="557" w:firstLineChars="198"/>
        <w:rPr>
          <w:rFonts w:ascii="宋体"/>
          <w:b/>
          <w:sz w:val="28"/>
          <w:szCs w:val="28"/>
        </w:rPr>
      </w:pPr>
    </w:p>
    <w:p>
      <w:pPr>
        <w:spacing w:line="360" w:lineRule="auto"/>
        <w:ind w:firstLine="557" w:firstLineChars="198"/>
        <w:rPr>
          <w:rFonts w:ascii="宋体"/>
          <w:b/>
          <w:sz w:val="28"/>
          <w:szCs w:val="28"/>
        </w:rPr>
      </w:pPr>
      <w:r>
        <w:rPr>
          <w:rFonts w:ascii="宋体" w:hAnsi="宋体"/>
          <w:b/>
          <w:sz w:val="28"/>
          <w:szCs w:val="28"/>
        </w:rPr>
        <w:t>5.</w:t>
      </w:r>
      <w:r>
        <w:rPr>
          <w:rFonts w:hint="eastAsia" w:ascii="宋体" w:hAnsi="宋体"/>
          <w:b/>
          <w:sz w:val="28"/>
          <w:szCs w:val="28"/>
        </w:rPr>
        <w:t>社会贡献</w:t>
      </w:r>
    </w:p>
    <w:p>
      <w:pPr>
        <w:spacing w:line="400" w:lineRule="exact"/>
        <w:ind w:firstLine="551" w:firstLineChars="196"/>
        <w:rPr>
          <w:rFonts w:ascii="宋体"/>
          <w:b/>
          <w:sz w:val="28"/>
          <w:szCs w:val="28"/>
        </w:rPr>
      </w:pPr>
      <w:r>
        <w:rPr>
          <w:rFonts w:ascii="宋体" w:hAnsi="宋体"/>
          <w:b/>
          <w:sz w:val="28"/>
          <w:szCs w:val="28"/>
        </w:rPr>
        <w:t>5.1</w:t>
      </w:r>
      <w:r>
        <w:rPr>
          <w:rFonts w:hint="eastAsia" w:ascii="宋体" w:hAnsi="宋体"/>
          <w:b/>
          <w:sz w:val="28"/>
          <w:szCs w:val="28"/>
        </w:rPr>
        <w:t>技术技能人才培养</w:t>
      </w:r>
    </w:p>
    <w:p>
      <w:pPr>
        <w:spacing w:line="400" w:lineRule="exact"/>
        <w:ind w:firstLine="480" w:firstLineChars="200"/>
        <w:rPr>
          <w:rFonts w:ascii="宋体"/>
          <w:sz w:val="24"/>
        </w:rPr>
      </w:pPr>
      <w:r>
        <w:rPr>
          <w:rFonts w:ascii="宋体" w:hAnsi="宋体"/>
          <w:sz w:val="24"/>
        </w:rPr>
        <w:t>201</w:t>
      </w:r>
      <w:r>
        <w:rPr>
          <w:rFonts w:hint="eastAsia" w:ascii="宋体" w:hAnsi="宋体"/>
          <w:sz w:val="24"/>
        </w:rPr>
        <w:t>9</w:t>
      </w:r>
      <w:r>
        <w:rPr>
          <w:rFonts w:ascii="宋体" w:hAnsi="宋体"/>
          <w:sz w:val="24"/>
        </w:rPr>
        <w:t>-2</w:t>
      </w:r>
      <w:r>
        <w:rPr>
          <w:rFonts w:hint="eastAsia" w:ascii="宋体" w:hAnsi="宋体"/>
          <w:sz w:val="24"/>
        </w:rPr>
        <w:t>020学年学校设有17个美术专业班，3个</w:t>
      </w:r>
      <w:r>
        <w:rPr>
          <w:rFonts w:hint="eastAsia" w:ascii="宋体" w:hAnsi="宋体"/>
        </w:rPr>
        <w:t>民族工艺品制作（民族陶艺）专业班，</w:t>
      </w:r>
      <w:r>
        <w:rPr>
          <w:rFonts w:hint="eastAsia" w:ascii="宋体" w:hAnsi="宋体"/>
          <w:sz w:val="24"/>
        </w:rPr>
        <w:t>3个学前教育专业班，1个学前教育（保育员）专业班。其中美术绘画专业于</w:t>
      </w:r>
      <w:r>
        <w:rPr>
          <w:rFonts w:ascii="宋体" w:hAnsi="宋体"/>
          <w:sz w:val="24"/>
        </w:rPr>
        <w:t>2014</w:t>
      </w:r>
      <w:r>
        <w:rPr>
          <w:rFonts w:hint="eastAsia" w:ascii="宋体" w:hAnsi="宋体"/>
          <w:sz w:val="24"/>
        </w:rPr>
        <w:t>年被选定为福州市重点专业。学校有956名在校生。我校办学特色鲜明，师资力量雄厚，专业教学经验丰富，形成一套独有的、系统的教学模式，多年来为社会培养了大批美术和学前教育专业的优秀人才，得到社会及用人单位的认可。</w:t>
      </w:r>
    </w:p>
    <w:p>
      <w:pPr>
        <w:spacing w:line="400" w:lineRule="exact"/>
        <w:ind w:firstLine="435"/>
        <w:rPr>
          <w:rFonts w:ascii="宋体"/>
          <w:sz w:val="24"/>
        </w:rPr>
      </w:pPr>
      <w:r>
        <w:rPr>
          <w:rFonts w:hint="eastAsia" w:ascii="宋体" w:hAnsi="宋体"/>
          <w:sz w:val="24"/>
        </w:rPr>
        <w:t>为了使学前教育专业人才培养的目标和规格凸显中等职业教育的针对性、实践性和科学性，缩小与用人单位需求的距离，进一步深化本专业课程改革，为我市经济的发展提供优质的人力资源。学校还积极调查市场对中职校学前专业学生的职业岗位需求，研究分析人才的培养规格、知识能力、素质结构，确定专业培养目标、优化课程体系和整合教学内容。</w:t>
      </w:r>
    </w:p>
    <w:p>
      <w:pPr>
        <w:spacing w:line="400" w:lineRule="exact"/>
        <w:ind w:firstLine="480" w:firstLineChars="200"/>
        <w:rPr>
          <w:rFonts w:hint="eastAsia" w:ascii="宋体" w:hAnsi="宋体" w:cs="仿宋_GB2312"/>
          <w:sz w:val="24"/>
          <w:szCs w:val="24"/>
        </w:rPr>
      </w:pPr>
      <w:r>
        <w:rPr>
          <w:rFonts w:hint="eastAsia" w:ascii="宋体" w:hAnsi="宋体" w:cs="仿宋_GB2312"/>
          <w:sz w:val="24"/>
          <w:szCs w:val="24"/>
        </w:rPr>
        <w:t>招生、就业、升学方面</w:t>
      </w:r>
      <w:r>
        <w:rPr>
          <w:rFonts w:hint="eastAsia" w:cs="仿宋_GB2312" w:asciiTheme="minorEastAsia" w:hAnsiTheme="minorEastAsia" w:eastAsiaTheme="minorEastAsia"/>
          <w:sz w:val="24"/>
          <w:szCs w:val="24"/>
        </w:rPr>
        <w:t>：</w:t>
      </w:r>
    </w:p>
    <w:p>
      <w:pPr>
        <w:spacing w:line="400" w:lineRule="exact"/>
        <w:ind w:firstLine="480" w:firstLineChars="200"/>
        <w:rPr>
          <w:rFonts w:hint="eastAsia" w:ascii="宋体" w:hAnsi="宋体" w:cs="仿宋_GB2312"/>
          <w:sz w:val="24"/>
          <w:szCs w:val="24"/>
        </w:rPr>
      </w:pPr>
      <w:r>
        <w:rPr>
          <w:rFonts w:hint="eastAsia" w:ascii="宋体" w:hAnsi="宋体" w:cs="仿宋_GB2312"/>
          <w:sz w:val="24"/>
          <w:szCs w:val="24"/>
        </w:rPr>
        <w:t>学校2020年参加艺术类夏季高考137人，本科上线44人，本科录取41人，其中录取四川美术学院1人，211大学——西南大学1人，录取率30%。大专录取86人，录取率62.77%，夏季高考总录取率92.7%；参加福建省高职分类考试105人，大专上线率100%。成绩良好。</w:t>
      </w:r>
    </w:p>
    <w:p>
      <w:pPr>
        <w:spacing w:line="400" w:lineRule="exact"/>
        <w:ind w:firstLine="472" w:firstLineChars="197"/>
        <w:rPr>
          <w:rFonts w:asciiTheme="minorEastAsia" w:hAnsiTheme="minorEastAsia" w:eastAsiaTheme="minorEastAsia"/>
          <w:b/>
          <w:sz w:val="24"/>
          <w:szCs w:val="24"/>
        </w:rPr>
      </w:pPr>
      <w:r>
        <w:rPr>
          <w:rFonts w:hint="eastAsia" w:ascii="宋体" w:hAnsi="宋体" w:cs="仿宋_GB2312"/>
          <w:sz w:val="24"/>
          <w:szCs w:val="24"/>
        </w:rPr>
        <w:t>学业水平考试2018级学生公共基础知识合格率为95%，美术、学前教育专业基础知识合格率96.46%。2020届毕业264人，就业259人，就业率达98%。今年共录取高一新生</w:t>
      </w:r>
      <w:r>
        <w:rPr>
          <w:rFonts w:hint="eastAsia" w:cs="仿宋_GB2312" w:asciiTheme="minorEastAsia" w:hAnsiTheme="minorEastAsia" w:eastAsiaTheme="minorEastAsia"/>
          <w:sz w:val="24"/>
          <w:szCs w:val="24"/>
        </w:rPr>
        <w:t>370</w:t>
      </w:r>
      <w:r>
        <w:rPr>
          <w:rFonts w:hint="eastAsia" w:ascii="宋体" w:hAnsi="宋体" w:cs="仿宋_GB2312"/>
          <w:sz w:val="24"/>
          <w:szCs w:val="24"/>
        </w:rPr>
        <w:t>人。</w:t>
      </w:r>
    </w:p>
    <w:p>
      <w:pPr>
        <w:ind w:firstLine="413" w:firstLineChars="147"/>
        <w:rPr>
          <w:rFonts w:hint="eastAsia" w:ascii="宋体" w:hAnsi="宋体"/>
          <w:b/>
          <w:sz w:val="28"/>
          <w:szCs w:val="28"/>
        </w:rPr>
      </w:pPr>
    </w:p>
    <w:p>
      <w:pPr>
        <w:ind w:firstLine="413" w:firstLineChars="147"/>
        <w:rPr>
          <w:rFonts w:ascii="宋体"/>
          <w:b/>
          <w:sz w:val="28"/>
          <w:szCs w:val="28"/>
        </w:rPr>
      </w:pPr>
      <w:r>
        <w:rPr>
          <w:rFonts w:ascii="宋体" w:hAnsi="宋体"/>
          <w:b/>
          <w:sz w:val="28"/>
          <w:szCs w:val="28"/>
        </w:rPr>
        <w:t>5.2</w:t>
      </w:r>
      <w:r>
        <w:rPr>
          <w:rFonts w:hint="eastAsia" w:ascii="宋体" w:hAnsi="宋体"/>
          <w:b/>
          <w:sz w:val="28"/>
          <w:szCs w:val="28"/>
        </w:rPr>
        <w:t>社会服务</w:t>
      </w:r>
    </w:p>
    <w:p>
      <w:pPr>
        <w:spacing w:line="420" w:lineRule="exact"/>
        <w:ind w:firstLine="435"/>
        <w:rPr>
          <w:rFonts w:ascii="宋体"/>
          <w:sz w:val="24"/>
        </w:rPr>
      </w:pPr>
      <w:r>
        <w:rPr>
          <w:rFonts w:hint="eastAsia" w:ascii="宋体" w:hAnsi="宋体"/>
          <w:sz w:val="24"/>
        </w:rPr>
        <w:t>学校以学历教育为主，注重校外专业技能培训，学校立足艺术教育品牌特点，利用学校教育资源，设立了美术绘画、美术设计与制作、等专业培训课程，培训功能不断完善，培训管理规范。职业培训由专人负责，选拔优秀教师至培训部执教，严格把关培训质量。</w:t>
      </w:r>
    </w:p>
    <w:p>
      <w:pPr>
        <w:spacing w:line="420" w:lineRule="exact"/>
        <w:ind w:firstLine="435"/>
        <w:rPr>
          <w:rFonts w:ascii="宋体"/>
          <w:sz w:val="24"/>
        </w:rPr>
      </w:pPr>
      <w:r>
        <w:rPr>
          <w:rFonts w:hint="eastAsia" w:ascii="宋体" w:hAnsi="宋体"/>
          <w:sz w:val="24"/>
        </w:rPr>
        <w:t>依托学校完善的实训设施，有雄厚的学前教育和艺术专业师资力量，学员通过职业技能培训，合格率平均达到</w:t>
      </w:r>
      <w:r>
        <w:rPr>
          <w:rFonts w:ascii="宋体" w:hAnsi="宋体"/>
          <w:sz w:val="24"/>
        </w:rPr>
        <w:t>95%</w:t>
      </w:r>
      <w:r>
        <w:rPr>
          <w:rFonts w:hint="eastAsia" w:ascii="宋体" w:hAnsi="宋体"/>
          <w:sz w:val="24"/>
        </w:rPr>
        <w:t>以上。除此之外，学校还通过多种形式加强校企合作，根据企业需要，选派教师到企业，为员工开展培训，诸如工艺彩绘、欧式古典木制品装饰等方面的培训，为企业解决实际难题。</w:t>
      </w:r>
    </w:p>
    <w:p>
      <w:pPr>
        <w:spacing w:line="420" w:lineRule="exact"/>
        <w:ind w:firstLine="435"/>
        <w:rPr>
          <w:rFonts w:ascii="宋体"/>
          <w:sz w:val="24"/>
        </w:rPr>
      </w:pPr>
      <w:r>
        <w:rPr>
          <w:rFonts w:hint="eastAsia" w:ascii="宋体" w:hAnsi="宋体"/>
          <w:sz w:val="24"/>
        </w:rPr>
        <w:t>学校为艺术类学校，美术各专业教学设备完善，师资力量雄厚，与校外中型企业联办，在校外有空间充足和实训设备齐全的共建实训基地，利用企业资源，实现学生培养与企业需求的无缝对接。为做好学生的综合实习工作，积极与福州美源工艺品有限公司、闽侯蓓蕾、秀光等幼儿园、福州高新区儿童学园等多家单位签订了长期实习实训协议。经常组织学生下园见习、实习，协助幼儿园阶段性各项工作，学生良好的精神风貌、过硬的专业技能也嬴得了实习单位的好评，每年的校园招聘会各企业用人单位络绎不绝到校联系用工情况。</w:t>
      </w:r>
    </w:p>
    <w:p>
      <w:pPr>
        <w:spacing w:line="420" w:lineRule="exact"/>
        <w:ind w:firstLine="435"/>
        <w:rPr>
          <w:rFonts w:ascii="宋体"/>
          <w:sz w:val="24"/>
        </w:rPr>
      </w:pPr>
      <w:r>
        <w:rPr>
          <w:rFonts w:hint="eastAsia" w:ascii="宋体" w:hAnsi="宋体"/>
          <w:sz w:val="24"/>
        </w:rPr>
        <w:t>学校积极推进青年教师企业实践项目的实现，先后选派李爱云、陈馗、陈凯霖、叶奇钟等教师下企业实践，通过教师的企业一线实践，教师在企业实践过程中结合自己所学专业为企业发展献计献策，竭尽所能为企业提供建设性意见；结合企业的实际需求，有针对性地为企业推荐输送他们所需要的合格人才。</w:t>
      </w:r>
    </w:p>
    <w:p>
      <w:pPr>
        <w:spacing w:line="420" w:lineRule="exact"/>
        <w:ind w:firstLine="435"/>
        <w:rPr>
          <w:rFonts w:ascii="宋体"/>
          <w:sz w:val="24"/>
        </w:rPr>
      </w:pPr>
      <w:r>
        <w:rPr>
          <w:rFonts w:hint="eastAsia" w:ascii="宋体" w:hAnsi="宋体"/>
          <w:sz w:val="24"/>
        </w:rPr>
        <w:t>在加强校企合作上，学校艺术类专业教师以专业所长为部分企业项目提供策划咨询服务，如为艺术工艺类公司提供产品设计技术支持，组织指导学生参加社会各类文艺汇演等活动，获得社会高度评价。</w:t>
      </w:r>
    </w:p>
    <w:p>
      <w:pPr>
        <w:spacing w:line="420" w:lineRule="exact"/>
        <w:ind w:firstLine="352" w:firstLineChars="147"/>
        <w:rPr>
          <w:rFonts w:ascii="宋体" w:cs="仿宋"/>
          <w:bCs/>
          <w:kern w:val="0"/>
          <w:sz w:val="24"/>
          <w:szCs w:val="24"/>
        </w:rPr>
      </w:pPr>
      <w:r>
        <w:rPr>
          <w:rFonts w:hint="eastAsia" w:ascii="宋体" w:cs="仿宋"/>
          <w:bCs/>
          <w:kern w:val="0"/>
          <w:sz w:val="24"/>
          <w:szCs w:val="24"/>
        </w:rPr>
        <w:t>以上实施主要在2019年下半年。</w:t>
      </w:r>
    </w:p>
    <w:p>
      <w:pPr>
        <w:spacing w:line="420" w:lineRule="exact"/>
        <w:ind w:firstLine="413" w:firstLineChars="147"/>
        <w:rPr>
          <w:rFonts w:ascii="宋体" w:cs="仿宋"/>
          <w:b/>
          <w:bCs/>
          <w:kern w:val="0"/>
          <w:sz w:val="28"/>
          <w:szCs w:val="28"/>
        </w:rPr>
      </w:pPr>
    </w:p>
    <w:p>
      <w:pPr>
        <w:spacing w:line="420" w:lineRule="exact"/>
        <w:ind w:firstLine="413" w:firstLineChars="147"/>
        <w:rPr>
          <w:rFonts w:ascii="宋体" w:cs="仿宋"/>
          <w:b/>
          <w:bCs/>
          <w:kern w:val="0"/>
          <w:sz w:val="28"/>
          <w:szCs w:val="28"/>
        </w:rPr>
      </w:pPr>
      <w:r>
        <w:rPr>
          <w:rFonts w:ascii="宋体" w:hAnsi="宋体" w:cs="仿宋"/>
          <w:b/>
          <w:bCs/>
          <w:kern w:val="0"/>
          <w:sz w:val="28"/>
          <w:szCs w:val="28"/>
        </w:rPr>
        <w:t>5.3</w:t>
      </w:r>
      <w:r>
        <w:rPr>
          <w:rFonts w:hint="eastAsia" w:ascii="宋体" w:hAnsi="宋体" w:cs="仿宋"/>
          <w:b/>
          <w:bCs/>
          <w:kern w:val="0"/>
          <w:sz w:val="28"/>
          <w:szCs w:val="28"/>
        </w:rPr>
        <w:t>对口支援</w:t>
      </w:r>
    </w:p>
    <w:p>
      <w:pPr>
        <w:spacing w:line="400" w:lineRule="exact"/>
        <w:ind w:firstLine="472" w:firstLineChars="197"/>
        <w:rPr>
          <w:rFonts w:ascii="宋体" w:cs="仿宋"/>
          <w:bCs/>
          <w:kern w:val="0"/>
          <w:sz w:val="24"/>
          <w:szCs w:val="24"/>
        </w:rPr>
      </w:pPr>
      <w:r>
        <w:rPr>
          <w:rFonts w:hint="eastAsia" w:ascii="宋体" w:hAnsi="宋体" w:cs="仿宋"/>
          <w:bCs/>
          <w:kern w:val="0"/>
          <w:sz w:val="24"/>
          <w:szCs w:val="24"/>
        </w:rPr>
        <w:t>学校根据上级教育部门有关文件通知，从</w:t>
      </w:r>
      <w:r>
        <w:rPr>
          <w:rFonts w:ascii="宋体" w:hAnsi="宋体" w:cs="仿宋"/>
          <w:kern w:val="0"/>
          <w:sz w:val="24"/>
        </w:rPr>
        <w:t>2018-2019</w:t>
      </w:r>
      <w:r>
        <w:rPr>
          <w:rFonts w:hint="eastAsia" w:ascii="宋体" w:hAnsi="宋体" w:cs="仿宋"/>
          <w:kern w:val="0"/>
          <w:sz w:val="24"/>
        </w:rPr>
        <w:t>学年</w:t>
      </w:r>
      <w:r>
        <w:rPr>
          <w:rFonts w:hint="eastAsia" w:ascii="宋体" w:hAnsi="宋体" w:cs="仿宋"/>
          <w:bCs/>
          <w:kern w:val="0"/>
          <w:sz w:val="24"/>
          <w:szCs w:val="24"/>
        </w:rPr>
        <w:t>，派出</w:t>
      </w:r>
      <w:r>
        <w:rPr>
          <w:rFonts w:ascii="宋体" w:hAnsi="宋体" w:cs="仿宋"/>
          <w:bCs/>
          <w:kern w:val="0"/>
          <w:sz w:val="24"/>
          <w:szCs w:val="24"/>
        </w:rPr>
        <w:t>5</w:t>
      </w:r>
      <w:r>
        <w:rPr>
          <w:rFonts w:hint="eastAsia" w:ascii="宋体" w:hAnsi="宋体" w:cs="仿宋"/>
          <w:bCs/>
          <w:kern w:val="0"/>
          <w:sz w:val="24"/>
          <w:szCs w:val="24"/>
        </w:rPr>
        <w:t>位专业与公共学科教师到福建省未成年人管教所（省少管所）进行无偿支教，</w:t>
      </w:r>
      <w:r>
        <w:rPr>
          <w:rFonts w:ascii="宋体" w:hAnsi="宋体" w:cs="仿宋"/>
          <w:bCs/>
          <w:kern w:val="0"/>
          <w:sz w:val="24"/>
          <w:szCs w:val="24"/>
        </w:rPr>
        <w:t>1</w:t>
      </w:r>
      <w:r>
        <w:rPr>
          <w:rFonts w:hint="eastAsia" w:ascii="宋体" w:hAnsi="宋体" w:cs="仿宋"/>
          <w:bCs/>
          <w:kern w:val="0"/>
          <w:sz w:val="24"/>
          <w:szCs w:val="24"/>
        </w:rPr>
        <w:t>位教师借调到闽侯良存侨校。</w:t>
      </w:r>
    </w:p>
    <w:p>
      <w:pPr>
        <w:spacing w:line="400" w:lineRule="exact"/>
        <w:ind w:firstLine="413" w:firstLineChars="147"/>
        <w:rPr>
          <w:rFonts w:ascii="宋体" w:cs="仿宋"/>
          <w:b/>
          <w:bCs/>
          <w:kern w:val="0"/>
          <w:sz w:val="28"/>
          <w:szCs w:val="28"/>
        </w:rPr>
      </w:pPr>
    </w:p>
    <w:p>
      <w:pPr>
        <w:spacing w:line="400" w:lineRule="exact"/>
        <w:ind w:firstLine="413" w:firstLineChars="147"/>
        <w:rPr>
          <w:rFonts w:ascii="宋体" w:cs="仿宋"/>
          <w:b/>
          <w:bCs/>
          <w:kern w:val="0"/>
          <w:sz w:val="28"/>
          <w:szCs w:val="28"/>
        </w:rPr>
      </w:pPr>
      <w:r>
        <w:rPr>
          <w:rFonts w:ascii="宋体" w:hAnsi="宋体" w:cs="仿宋"/>
          <w:b/>
          <w:bCs/>
          <w:kern w:val="0"/>
          <w:sz w:val="28"/>
          <w:szCs w:val="28"/>
        </w:rPr>
        <w:t>6.</w:t>
      </w:r>
      <w:r>
        <w:rPr>
          <w:rFonts w:hint="eastAsia" w:ascii="宋体" w:hAnsi="宋体" w:cs="仿宋"/>
          <w:b/>
          <w:bCs/>
          <w:kern w:val="0"/>
          <w:sz w:val="28"/>
          <w:szCs w:val="28"/>
        </w:rPr>
        <w:t>举办者履责</w:t>
      </w:r>
    </w:p>
    <w:p>
      <w:pPr>
        <w:spacing w:line="400" w:lineRule="exact"/>
        <w:ind w:firstLine="446" w:firstLineChars="148"/>
        <w:rPr>
          <w:rFonts w:ascii="??_GB2312" w:hAnsi="仿宋"/>
          <w:b/>
          <w:bCs/>
          <w:sz w:val="30"/>
          <w:szCs w:val="30"/>
        </w:rPr>
      </w:pPr>
    </w:p>
    <w:p>
      <w:pPr>
        <w:spacing w:line="400" w:lineRule="exact"/>
        <w:ind w:firstLine="446" w:firstLineChars="148"/>
        <w:rPr>
          <w:rFonts w:ascii="??_GB2312" w:hAnsi="仿宋"/>
          <w:b/>
          <w:bCs/>
          <w:sz w:val="30"/>
          <w:szCs w:val="30"/>
        </w:rPr>
      </w:pPr>
      <w:r>
        <w:rPr>
          <w:rFonts w:ascii="??_GB2312" w:hAnsi="仿宋"/>
          <w:b/>
          <w:bCs/>
          <w:sz w:val="30"/>
          <w:szCs w:val="30"/>
        </w:rPr>
        <w:t>6.1</w:t>
      </w:r>
      <w:r>
        <w:rPr>
          <w:rFonts w:hint="eastAsia" w:ascii="??_GB2312" w:hAnsi="仿宋"/>
          <w:b/>
          <w:bCs/>
          <w:sz w:val="30"/>
          <w:szCs w:val="30"/>
        </w:rPr>
        <w:t>经费</w:t>
      </w:r>
    </w:p>
    <w:p>
      <w:pPr>
        <w:spacing w:line="400" w:lineRule="exact"/>
        <w:ind w:firstLine="472" w:firstLineChars="197"/>
        <w:rPr>
          <w:rFonts w:ascii="宋体" w:cs="仿宋"/>
          <w:kern w:val="0"/>
          <w:sz w:val="24"/>
        </w:rPr>
      </w:pPr>
      <w:r>
        <w:rPr>
          <w:rFonts w:hint="eastAsia" w:ascii="宋体" w:hAnsi="宋体" w:cs="仿宋"/>
          <w:kern w:val="0"/>
          <w:sz w:val="24"/>
        </w:rPr>
        <w:t>随着国家对职业教育投入的加大，学校的办学条件有了明显的改善。近年来福州高新区财政对学校的投入有了明显的增长，</w:t>
      </w:r>
      <w:r>
        <w:rPr>
          <w:rFonts w:ascii="宋体" w:hAnsi="宋体" w:cs="仿宋"/>
          <w:kern w:val="0"/>
          <w:sz w:val="24"/>
        </w:rPr>
        <w:t>201</w:t>
      </w:r>
      <w:r>
        <w:rPr>
          <w:rFonts w:hint="eastAsia" w:ascii="宋体" w:hAnsi="宋体" w:cs="仿宋"/>
          <w:kern w:val="0"/>
          <w:sz w:val="24"/>
        </w:rPr>
        <w:t>8</w:t>
      </w:r>
      <w:r>
        <w:rPr>
          <w:rFonts w:ascii="宋体" w:hAnsi="宋体" w:cs="仿宋"/>
          <w:kern w:val="0"/>
          <w:sz w:val="24"/>
        </w:rPr>
        <w:t>-201</w:t>
      </w:r>
      <w:r>
        <w:rPr>
          <w:rFonts w:hint="eastAsia" w:ascii="宋体" w:hAnsi="宋体" w:cs="仿宋"/>
          <w:kern w:val="0"/>
          <w:sz w:val="24"/>
        </w:rPr>
        <w:t>9学年高新区财政共投入964.9万元，</w:t>
      </w:r>
      <w:r>
        <w:rPr>
          <w:rFonts w:ascii="宋体" w:hAnsi="宋体" w:cs="仿宋"/>
          <w:kern w:val="0"/>
          <w:sz w:val="24"/>
        </w:rPr>
        <w:t>201</w:t>
      </w:r>
      <w:r>
        <w:rPr>
          <w:rFonts w:hint="eastAsia" w:ascii="宋体" w:hAnsi="宋体" w:cs="仿宋"/>
          <w:kern w:val="0"/>
          <w:sz w:val="24"/>
        </w:rPr>
        <w:t>9</w:t>
      </w:r>
      <w:r>
        <w:rPr>
          <w:rFonts w:ascii="宋体" w:hAnsi="宋体" w:cs="仿宋"/>
          <w:kern w:val="0"/>
          <w:sz w:val="24"/>
        </w:rPr>
        <w:t>-20</w:t>
      </w:r>
      <w:r>
        <w:rPr>
          <w:rFonts w:hint="eastAsia" w:ascii="宋体" w:hAnsi="宋体" w:cs="仿宋"/>
          <w:kern w:val="0"/>
          <w:sz w:val="24"/>
        </w:rPr>
        <w:t>20学年投入2680.3万元</w:t>
      </w:r>
      <w:r>
        <w:rPr>
          <w:rFonts w:hint="eastAsia" w:ascii="宋体" w:hAnsi="宋体" w:cs="仿宋"/>
          <w:kern w:val="0"/>
        </w:rPr>
        <w:t>（其中新校区拨款1700万元）</w:t>
      </w:r>
      <w:r>
        <w:rPr>
          <w:rFonts w:hint="eastAsia" w:ascii="宋体" w:hAnsi="宋体" w:cs="仿宋"/>
          <w:kern w:val="0"/>
          <w:sz w:val="24"/>
        </w:rPr>
        <w:t>。</w:t>
      </w:r>
    </w:p>
    <w:p>
      <w:pPr>
        <w:spacing w:line="400" w:lineRule="exact"/>
        <w:ind w:firstLine="593" w:firstLineChars="197"/>
        <w:rPr>
          <w:rFonts w:ascii="??_GB2312" w:hAnsi="仿宋"/>
          <w:b/>
          <w:bCs/>
          <w:sz w:val="30"/>
          <w:szCs w:val="30"/>
        </w:rPr>
      </w:pPr>
    </w:p>
    <w:tbl>
      <w:tblPr>
        <w:tblStyle w:val="7"/>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2126"/>
        <w:gridCol w:w="2268"/>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2" w:type="dxa"/>
            <w:vAlign w:val="center"/>
          </w:tcPr>
          <w:p>
            <w:pPr>
              <w:widowControl/>
              <w:spacing w:before="100" w:beforeAutospacing="1" w:after="100" w:afterAutospacing="1" w:line="360" w:lineRule="atLeast"/>
              <w:jc w:val="center"/>
              <w:rPr>
                <w:rFonts w:ascii="宋体" w:cs="仿宋"/>
                <w:kern w:val="0"/>
              </w:rPr>
            </w:pPr>
            <w:r>
              <w:rPr>
                <w:rFonts w:hint="eastAsia" w:ascii="宋体" w:hAnsi="宋体" w:cs="仿宋"/>
                <w:kern w:val="0"/>
              </w:rPr>
              <w:t>年度</w:t>
            </w:r>
          </w:p>
        </w:tc>
        <w:tc>
          <w:tcPr>
            <w:tcW w:w="2126" w:type="dxa"/>
            <w:vAlign w:val="center"/>
          </w:tcPr>
          <w:p>
            <w:pPr>
              <w:widowControl/>
              <w:spacing w:before="100" w:beforeAutospacing="1" w:after="100" w:afterAutospacing="1" w:line="360" w:lineRule="atLeast"/>
              <w:jc w:val="center"/>
              <w:rPr>
                <w:rFonts w:ascii="宋体" w:cs="仿宋"/>
                <w:kern w:val="0"/>
              </w:rPr>
            </w:pPr>
            <w:r>
              <w:rPr>
                <w:rFonts w:hint="eastAsia" w:ascii="宋体" w:hAnsi="宋体" w:cs="仿宋"/>
                <w:kern w:val="0"/>
              </w:rPr>
              <w:t>总投入（万元）</w:t>
            </w:r>
          </w:p>
        </w:tc>
        <w:tc>
          <w:tcPr>
            <w:tcW w:w="2268" w:type="dxa"/>
            <w:vAlign w:val="center"/>
          </w:tcPr>
          <w:p>
            <w:pPr>
              <w:widowControl/>
              <w:spacing w:before="100" w:beforeAutospacing="1" w:after="100" w:afterAutospacing="1" w:line="360" w:lineRule="atLeast"/>
              <w:jc w:val="center"/>
              <w:rPr>
                <w:rFonts w:ascii="宋体" w:cs="仿宋"/>
                <w:kern w:val="0"/>
              </w:rPr>
            </w:pPr>
            <w:r>
              <w:rPr>
                <w:rFonts w:hint="eastAsia" w:ascii="宋体" w:hAnsi="宋体" w:cs="仿宋"/>
                <w:kern w:val="0"/>
              </w:rPr>
              <w:t>生均拨款（万元）</w:t>
            </w:r>
          </w:p>
        </w:tc>
        <w:tc>
          <w:tcPr>
            <w:tcW w:w="2048" w:type="dxa"/>
            <w:vAlign w:val="center"/>
          </w:tcPr>
          <w:p>
            <w:pPr>
              <w:widowControl/>
              <w:spacing w:before="100" w:beforeAutospacing="1" w:after="100" w:afterAutospacing="1" w:line="360" w:lineRule="atLeast"/>
              <w:jc w:val="center"/>
              <w:rPr>
                <w:rFonts w:ascii="宋体" w:cs="仿宋"/>
                <w:kern w:val="0"/>
              </w:rPr>
            </w:pPr>
            <w:r>
              <w:rPr>
                <w:rFonts w:hint="eastAsia" w:ascii="宋体" w:hAnsi="宋体" w:cs="仿宋"/>
                <w:kern w:val="0"/>
              </w:rPr>
              <w:t>项目投入（万元）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2" w:type="dxa"/>
            <w:vAlign w:val="center"/>
          </w:tcPr>
          <w:p>
            <w:pPr>
              <w:widowControl/>
              <w:spacing w:before="100" w:beforeAutospacing="1" w:after="100" w:afterAutospacing="1" w:line="360" w:lineRule="atLeast"/>
              <w:jc w:val="center"/>
              <w:rPr>
                <w:rFonts w:ascii="宋体" w:cs="仿宋"/>
                <w:kern w:val="0"/>
              </w:rPr>
            </w:pPr>
            <w:r>
              <w:rPr>
                <w:rFonts w:ascii="宋体" w:hAnsi="宋体" w:cs="仿宋"/>
                <w:kern w:val="0"/>
              </w:rPr>
              <w:t>201</w:t>
            </w:r>
            <w:r>
              <w:rPr>
                <w:rFonts w:hint="eastAsia" w:ascii="宋体" w:hAnsi="宋体" w:cs="仿宋"/>
                <w:kern w:val="0"/>
              </w:rPr>
              <w:t>8</w:t>
            </w:r>
            <w:r>
              <w:rPr>
                <w:rFonts w:ascii="宋体" w:hAnsi="宋体" w:cs="仿宋"/>
                <w:kern w:val="0"/>
              </w:rPr>
              <w:t>-201</w:t>
            </w:r>
            <w:r>
              <w:rPr>
                <w:rFonts w:hint="eastAsia" w:ascii="宋体" w:hAnsi="宋体" w:cs="仿宋"/>
                <w:kern w:val="0"/>
              </w:rPr>
              <w:t>9学年</w:t>
            </w:r>
          </w:p>
        </w:tc>
        <w:tc>
          <w:tcPr>
            <w:tcW w:w="2126" w:type="dxa"/>
            <w:vAlign w:val="center"/>
          </w:tcPr>
          <w:p>
            <w:pPr>
              <w:widowControl/>
              <w:spacing w:before="100" w:beforeAutospacing="1" w:after="100" w:afterAutospacing="1" w:line="360" w:lineRule="atLeast"/>
              <w:jc w:val="center"/>
              <w:rPr>
                <w:rFonts w:ascii="宋体" w:cs="仿宋"/>
                <w:kern w:val="0"/>
              </w:rPr>
            </w:pPr>
            <w:r>
              <w:rPr>
                <w:rFonts w:hint="eastAsia" w:ascii="宋体" w:cs="仿宋"/>
                <w:kern w:val="0"/>
              </w:rPr>
              <w:t>964.9</w:t>
            </w:r>
          </w:p>
        </w:tc>
        <w:tc>
          <w:tcPr>
            <w:tcW w:w="2268" w:type="dxa"/>
            <w:vAlign w:val="center"/>
          </w:tcPr>
          <w:p>
            <w:pPr>
              <w:widowControl/>
              <w:spacing w:before="100" w:beforeAutospacing="1" w:after="100" w:afterAutospacing="1" w:line="360" w:lineRule="atLeast"/>
              <w:jc w:val="center"/>
              <w:rPr>
                <w:rFonts w:ascii="宋体" w:cs="仿宋"/>
                <w:kern w:val="0"/>
              </w:rPr>
            </w:pPr>
            <w:r>
              <w:rPr>
                <w:rFonts w:ascii="宋体" w:cs="仿宋"/>
                <w:kern w:val="0"/>
              </w:rPr>
              <w:t>1.</w:t>
            </w:r>
            <w:r>
              <w:rPr>
                <w:rFonts w:hint="eastAsia" w:ascii="宋体" w:cs="仿宋"/>
                <w:kern w:val="0"/>
              </w:rPr>
              <w:t>0805</w:t>
            </w:r>
          </w:p>
        </w:tc>
        <w:tc>
          <w:tcPr>
            <w:tcW w:w="2048" w:type="dxa"/>
            <w:vAlign w:val="center"/>
          </w:tcPr>
          <w:p>
            <w:pPr>
              <w:widowControl/>
              <w:spacing w:before="100" w:beforeAutospacing="1" w:after="100" w:afterAutospacing="1" w:line="360" w:lineRule="atLeast"/>
              <w:jc w:val="center"/>
              <w:rPr>
                <w:rFonts w:ascii="宋体" w:cs="仿宋"/>
                <w:kern w:val="0"/>
              </w:rPr>
            </w:pPr>
            <w:r>
              <w:rPr>
                <w:rFonts w:hint="eastAsia" w:ascii="宋体" w:cs="仿宋"/>
                <w:kern w:val="0"/>
              </w:rPr>
              <w:t>129.35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2" w:type="dxa"/>
            <w:vAlign w:val="center"/>
          </w:tcPr>
          <w:p>
            <w:pPr>
              <w:widowControl/>
              <w:spacing w:before="100" w:beforeAutospacing="1" w:after="100" w:afterAutospacing="1" w:line="360" w:lineRule="atLeast"/>
              <w:jc w:val="center"/>
              <w:rPr>
                <w:rFonts w:ascii="宋体" w:cs="仿宋"/>
                <w:kern w:val="0"/>
              </w:rPr>
            </w:pPr>
            <w:r>
              <w:rPr>
                <w:rFonts w:ascii="宋体" w:hAnsi="宋体" w:cs="仿宋"/>
                <w:kern w:val="0"/>
              </w:rPr>
              <w:t>20</w:t>
            </w:r>
            <w:r>
              <w:rPr>
                <w:rFonts w:hint="eastAsia" w:ascii="宋体" w:hAnsi="宋体" w:cs="仿宋"/>
                <w:kern w:val="0"/>
              </w:rPr>
              <w:t>19</w:t>
            </w:r>
            <w:r>
              <w:rPr>
                <w:rFonts w:ascii="宋体" w:hAnsi="宋体" w:cs="仿宋"/>
                <w:kern w:val="0"/>
              </w:rPr>
              <w:t>-20</w:t>
            </w:r>
            <w:r>
              <w:rPr>
                <w:rFonts w:hint="eastAsia" w:ascii="宋体" w:hAnsi="宋体" w:cs="仿宋"/>
                <w:kern w:val="0"/>
              </w:rPr>
              <w:t>20学年</w:t>
            </w:r>
          </w:p>
        </w:tc>
        <w:tc>
          <w:tcPr>
            <w:tcW w:w="2126" w:type="dxa"/>
            <w:vAlign w:val="center"/>
          </w:tcPr>
          <w:p>
            <w:pPr>
              <w:widowControl/>
              <w:spacing w:before="100" w:beforeAutospacing="1" w:after="100" w:afterAutospacing="1" w:line="360" w:lineRule="atLeast"/>
              <w:jc w:val="center"/>
              <w:rPr>
                <w:rFonts w:ascii="宋体" w:cs="仿宋"/>
                <w:kern w:val="0"/>
              </w:rPr>
            </w:pPr>
            <w:r>
              <w:rPr>
                <w:rFonts w:hint="eastAsia" w:ascii="宋体" w:hAnsi="宋体" w:cs="仿宋"/>
                <w:kern w:val="0"/>
              </w:rPr>
              <w:t>2680.3</w:t>
            </w:r>
          </w:p>
        </w:tc>
        <w:tc>
          <w:tcPr>
            <w:tcW w:w="2268" w:type="dxa"/>
            <w:vAlign w:val="center"/>
          </w:tcPr>
          <w:p>
            <w:pPr>
              <w:widowControl/>
              <w:spacing w:before="100" w:beforeAutospacing="1" w:after="100" w:afterAutospacing="1" w:line="360" w:lineRule="atLeast"/>
              <w:jc w:val="center"/>
              <w:rPr>
                <w:rFonts w:ascii="宋体" w:cs="仿宋"/>
                <w:kern w:val="0"/>
              </w:rPr>
            </w:pPr>
            <w:r>
              <w:rPr>
                <w:rFonts w:hint="eastAsia" w:ascii="宋体" w:cs="仿宋"/>
                <w:kern w:val="0"/>
              </w:rPr>
              <w:t>2.8037</w:t>
            </w:r>
          </w:p>
        </w:tc>
        <w:tc>
          <w:tcPr>
            <w:tcW w:w="2048" w:type="dxa"/>
            <w:vAlign w:val="center"/>
          </w:tcPr>
          <w:p>
            <w:pPr>
              <w:widowControl/>
              <w:spacing w:before="100" w:beforeAutospacing="1" w:after="100" w:afterAutospacing="1" w:line="360" w:lineRule="atLeast"/>
              <w:jc w:val="center"/>
              <w:rPr>
                <w:rFonts w:ascii="宋体" w:cs="仿宋"/>
                <w:kern w:val="0"/>
              </w:rPr>
            </w:pPr>
            <w:r>
              <w:rPr>
                <w:rFonts w:hint="eastAsia" w:ascii="宋体" w:cs="仿宋"/>
                <w:kern w:val="0"/>
              </w:rPr>
              <w:t>1700</w:t>
            </w:r>
          </w:p>
        </w:tc>
      </w:tr>
    </w:tbl>
    <w:p>
      <w:pPr>
        <w:spacing w:line="400" w:lineRule="exact"/>
        <w:ind w:firstLine="625" w:firstLineChars="298"/>
        <w:rPr>
          <w:rFonts w:ascii="??_GB2312" w:hAnsi="仿宋"/>
          <w:b/>
          <w:bCs/>
          <w:sz w:val="30"/>
          <w:szCs w:val="30"/>
        </w:rPr>
      </w:pPr>
      <w:r>
        <w:rPr>
          <w:rFonts w:hint="eastAsia" w:ascii="宋体"/>
        </w:rPr>
        <w:t>表中数据来源：学校总务处、财务室提供</w:t>
      </w:r>
    </w:p>
    <w:p>
      <w:pPr>
        <w:spacing w:line="400" w:lineRule="exact"/>
        <w:ind w:firstLine="408" w:firstLineChars="145"/>
        <w:rPr>
          <w:rFonts w:ascii="宋体"/>
          <w:b/>
          <w:sz w:val="28"/>
          <w:szCs w:val="28"/>
        </w:rPr>
      </w:pPr>
    </w:p>
    <w:p>
      <w:pPr>
        <w:spacing w:line="400" w:lineRule="exact"/>
        <w:ind w:firstLine="408" w:firstLineChars="145"/>
        <w:rPr>
          <w:rFonts w:ascii="宋体"/>
          <w:b/>
          <w:sz w:val="28"/>
          <w:szCs w:val="28"/>
        </w:rPr>
      </w:pPr>
      <w:r>
        <w:rPr>
          <w:rFonts w:ascii="宋体" w:hAnsi="宋体"/>
          <w:b/>
          <w:sz w:val="28"/>
          <w:szCs w:val="28"/>
        </w:rPr>
        <w:t>6.2</w:t>
      </w:r>
      <w:r>
        <w:rPr>
          <w:rFonts w:hint="eastAsia" w:ascii="宋体" w:hAnsi="宋体"/>
          <w:b/>
          <w:sz w:val="28"/>
          <w:szCs w:val="28"/>
        </w:rPr>
        <w:t>政策措施</w:t>
      </w:r>
    </w:p>
    <w:p>
      <w:pPr>
        <w:spacing w:line="400" w:lineRule="exact"/>
        <w:ind w:firstLine="480" w:firstLineChars="200"/>
        <w:rPr>
          <w:rFonts w:ascii="宋体"/>
          <w:sz w:val="24"/>
          <w:szCs w:val="24"/>
        </w:rPr>
      </w:pPr>
      <w:r>
        <w:rPr>
          <w:rFonts w:hint="eastAsia" w:ascii="宋体" w:hAnsi="宋体"/>
          <w:sz w:val="24"/>
          <w:szCs w:val="24"/>
        </w:rPr>
        <w:t>学校实行校长负责制。校长主持学校全面工作，学校党总支发挥政治核心领导作用，教职工通过教职工代表大会参与学校的民主管理。副校长对校长负责，协助校长分管学校教育、教学等具体工作。</w:t>
      </w:r>
    </w:p>
    <w:p>
      <w:pPr>
        <w:spacing w:line="400" w:lineRule="exact"/>
        <w:ind w:firstLine="480" w:firstLineChars="200"/>
        <w:rPr>
          <w:rFonts w:ascii="宋体"/>
          <w:sz w:val="24"/>
          <w:szCs w:val="24"/>
        </w:rPr>
      </w:pPr>
      <w:r>
        <w:rPr>
          <w:rFonts w:hint="eastAsia" w:ascii="宋体" w:hAnsi="宋体"/>
          <w:sz w:val="24"/>
          <w:szCs w:val="24"/>
        </w:rPr>
        <w:t>学校教师编制</w:t>
      </w:r>
      <w:r>
        <w:rPr>
          <w:rFonts w:ascii="宋体" w:hAnsi="宋体"/>
          <w:sz w:val="24"/>
          <w:szCs w:val="24"/>
        </w:rPr>
        <w:t>44</w:t>
      </w:r>
      <w:r>
        <w:rPr>
          <w:rFonts w:hint="eastAsia" w:ascii="宋体" w:hAnsi="宋体"/>
          <w:sz w:val="24"/>
          <w:szCs w:val="24"/>
        </w:rPr>
        <w:t>人，实际在编</w:t>
      </w:r>
      <w:r>
        <w:rPr>
          <w:rFonts w:ascii="宋体" w:hAnsi="宋体"/>
          <w:sz w:val="24"/>
          <w:szCs w:val="24"/>
        </w:rPr>
        <w:t>6</w:t>
      </w:r>
      <w:r>
        <w:rPr>
          <w:rFonts w:hint="eastAsia" w:ascii="宋体" w:hAnsi="宋体"/>
          <w:sz w:val="24"/>
          <w:szCs w:val="24"/>
        </w:rPr>
        <w:t>3人。</w:t>
      </w:r>
    </w:p>
    <w:p>
      <w:pPr>
        <w:adjustRightInd w:val="0"/>
        <w:snapToGrid w:val="0"/>
        <w:spacing w:line="400" w:lineRule="exact"/>
        <w:ind w:firstLine="480" w:firstLineChars="200"/>
        <w:rPr>
          <w:rFonts w:hint="eastAsia" w:ascii="宋体" w:hAnsi="宋体"/>
          <w:sz w:val="24"/>
          <w:szCs w:val="24"/>
        </w:rPr>
      </w:pPr>
      <w:r>
        <w:rPr>
          <w:rFonts w:ascii="宋体" w:hAnsi="宋体"/>
          <w:sz w:val="24"/>
          <w:szCs w:val="24"/>
        </w:rPr>
        <w:t>2019-2020</w:t>
      </w:r>
      <w:r>
        <w:rPr>
          <w:rFonts w:hint="eastAsia" w:ascii="宋体" w:hAnsi="宋体"/>
          <w:sz w:val="24"/>
          <w:szCs w:val="24"/>
        </w:rPr>
        <w:t>学年，新校区于</w:t>
      </w:r>
      <w:r>
        <w:rPr>
          <w:rFonts w:ascii="宋体" w:hAnsi="宋体"/>
          <w:sz w:val="24"/>
          <w:szCs w:val="24"/>
        </w:rPr>
        <w:t>2020</w:t>
      </w:r>
      <w:r>
        <w:rPr>
          <w:rFonts w:hint="eastAsia" w:ascii="宋体" w:hAnsi="宋体"/>
          <w:sz w:val="24"/>
          <w:szCs w:val="24"/>
        </w:rPr>
        <w:t>年</w:t>
      </w:r>
      <w:r>
        <w:rPr>
          <w:rFonts w:ascii="宋体" w:hAnsi="宋体"/>
          <w:sz w:val="24"/>
          <w:szCs w:val="24"/>
        </w:rPr>
        <w:t>3</w:t>
      </w:r>
      <w:r>
        <w:rPr>
          <w:rFonts w:hint="eastAsia" w:ascii="宋体" w:hAnsi="宋体"/>
          <w:sz w:val="24"/>
          <w:szCs w:val="24"/>
        </w:rPr>
        <w:t>月开始动工建设，</w:t>
      </w:r>
      <w:r>
        <w:rPr>
          <w:rFonts w:ascii="宋体" w:hAnsi="宋体"/>
          <w:sz w:val="24"/>
          <w:szCs w:val="24"/>
        </w:rPr>
        <w:t>2021</w:t>
      </w:r>
      <w:r>
        <w:rPr>
          <w:rFonts w:hint="eastAsia" w:ascii="宋体" w:hAnsi="宋体"/>
          <w:sz w:val="24"/>
          <w:szCs w:val="24"/>
        </w:rPr>
        <w:t>年9月建成交付使用。学校将以新校区的发展为新的起点，按照现代职业教育发展的新要求，紧密结合地方经济社会发展，围绕福州高新区开放开发等发展战略根据学校的实际情况，将“突出专业，深化内涵”确定为办学思路。即传承我校美术专业悠久办学历史，深厚专业积淀，突出专业特色，把美术这个专业做大做强；同时，加强现有美术类、民族工艺品制作、学前教育（保育员）七个专业内涵建设，以七个专业为骨干拓展专业专业建设，扩大办学规模。美术专业本来作为市级重点专业，可以拓展开办诸如陶艺、漆艺、锡艺、根雕、平面设计、动漫设计等与美术相关的专业</w:t>
      </w:r>
      <w:r>
        <w:rPr>
          <w:rFonts w:ascii="宋体" w:hAnsi="宋体"/>
          <w:sz w:val="24"/>
          <w:szCs w:val="24"/>
        </w:rPr>
        <w:t>;</w:t>
      </w:r>
      <w:r>
        <w:rPr>
          <w:rFonts w:hint="eastAsia" w:ascii="宋体" w:hAnsi="宋体"/>
          <w:sz w:val="24"/>
          <w:szCs w:val="24"/>
        </w:rPr>
        <w:t>而学前教育专业，也可以拓展开办诸如手工花艺、插花艺术、婴幼儿益智、音乐、舞蹈等专业</w:t>
      </w:r>
      <w:r>
        <w:rPr>
          <w:rFonts w:ascii="宋体" w:hAnsi="宋体"/>
          <w:sz w:val="24"/>
          <w:szCs w:val="24"/>
        </w:rPr>
        <w:t>;</w:t>
      </w:r>
      <w:r>
        <w:rPr>
          <w:rFonts w:hint="eastAsia" w:ascii="宋体" w:hAnsi="宋体"/>
          <w:sz w:val="24"/>
          <w:szCs w:val="24"/>
        </w:rPr>
        <w:t>从而形成一个“大艺术”专业群。</w:t>
      </w:r>
    </w:p>
    <w:p>
      <w:pPr>
        <w:adjustRightInd w:val="0"/>
        <w:snapToGrid w:val="0"/>
        <w:spacing w:line="400" w:lineRule="exact"/>
        <w:ind w:firstLine="480" w:firstLineChars="200"/>
        <w:rPr>
          <w:rFonts w:ascii="宋体"/>
          <w:b/>
          <w:snapToGrid w:val="0"/>
          <w:sz w:val="24"/>
          <w:szCs w:val="24"/>
        </w:rPr>
      </w:pPr>
      <w:r>
        <w:rPr>
          <w:rFonts w:hint="eastAsia" w:ascii="宋体" w:hAnsi="宋体"/>
          <w:sz w:val="24"/>
          <w:szCs w:val="24"/>
        </w:rPr>
        <w:t>另外，规划结合福州高新区“十四五”未来规划中的以新一代信息技术产业为特色主导，以装备制造、生物技术、新材料产业为培育重点方向，以现代服务业为支撑的</w:t>
      </w:r>
      <w:r>
        <w:rPr>
          <w:rFonts w:hint="eastAsia" w:ascii="宋体"/>
          <w:sz w:val="24"/>
          <w:szCs w:val="24"/>
        </w:rPr>
        <w:t>“</w:t>
      </w:r>
      <w:r>
        <w:rPr>
          <w:rFonts w:ascii="宋体" w:hAnsi="宋体"/>
          <w:sz w:val="24"/>
          <w:szCs w:val="24"/>
        </w:rPr>
        <w:t>131</w:t>
      </w:r>
      <w:r>
        <w:rPr>
          <w:rFonts w:hint="eastAsia" w:ascii="宋体" w:hAnsi="宋体"/>
          <w:sz w:val="24"/>
          <w:szCs w:val="24"/>
        </w:rPr>
        <w:t>”产业</w:t>
      </w:r>
      <w:r>
        <w:rPr>
          <w:rFonts w:ascii="宋体" w:hAnsi="宋体"/>
          <w:sz w:val="24"/>
          <w:szCs w:val="24"/>
        </w:rPr>
        <w:t>+</w:t>
      </w:r>
      <w:r>
        <w:rPr>
          <w:rFonts w:hint="eastAsia" w:ascii="宋体" w:hAnsi="宋体"/>
          <w:sz w:val="24"/>
          <w:szCs w:val="24"/>
        </w:rPr>
        <w:t>数字经济发展格局，争取打造</w:t>
      </w:r>
      <w:r>
        <w:rPr>
          <w:rFonts w:hint="eastAsia" w:ascii="宋体"/>
          <w:sz w:val="24"/>
          <w:szCs w:val="24"/>
        </w:rPr>
        <w:t>“</w:t>
      </w:r>
      <w:r>
        <w:rPr>
          <w:rFonts w:hint="eastAsia" w:ascii="宋体" w:hAnsi="宋体"/>
          <w:sz w:val="24"/>
          <w:szCs w:val="24"/>
        </w:rPr>
        <w:t>四宜</w:t>
      </w:r>
      <w:r>
        <w:rPr>
          <w:rFonts w:hint="eastAsia" w:ascii="宋体"/>
          <w:sz w:val="24"/>
          <w:szCs w:val="24"/>
        </w:rPr>
        <w:t>”</w:t>
      </w:r>
      <w:r>
        <w:rPr>
          <w:rFonts w:hint="eastAsia" w:ascii="宋体" w:hAnsi="宋体"/>
          <w:sz w:val="24"/>
          <w:szCs w:val="24"/>
        </w:rPr>
        <w:t>福建科学城的宏伟目标。</w:t>
      </w:r>
      <w:r>
        <w:rPr>
          <w:rFonts w:hint="eastAsia"/>
          <w:sz w:val="24"/>
          <w:szCs w:val="24"/>
        </w:rPr>
        <w:t>加快构建适应地方产业发展需求、产教深度融合、中高职协调发展的技术技能人才培养体系，通过校企合作、订单培养、现代学徒制等方式为高新区培养具有较高文化素质和产业专业技术技能的专门人才。</w:t>
      </w:r>
      <w:r>
        <w:rPr>
          <w:rFonts w:hint="eastAsia" w:asciiTheme="minorEastAsia" w:hAnsiTheme="minorEastAsia" w:eastAsiaTheme="minorEastAsia"/>
          <w:sz w:val="24"/>
          <w:szCs w:val="24"/>
        </w:rPr>
        <w:t>在每年职业教育“活动周”、</w:t>
      </w:r>
      <w:r>
        <w:rPr>
          <w:rFonts w:hint="eastAsia" w:ascii="宋体" w:hAnsi="宋体"/>
          <w:sz w:val="24"/>
          <w:szCs w:val="24"/>
        </w:rPr>
        <w:t>“开放日”</w:t>
      </w:r>
      <w:r>
        <w:rPr>
          <w:rFonts w:hint="eastAsia" w:asciiTheme="minorEastAsia" w:hAnsiTheme="minorEastAsia" w:eastAsiaTheme="minorEastAsia"/>
          <w:sz w:val="24"/>
          <w:szCs w:val="24"/>
        </w:rPr>
        <w:t>中，组织学校各专业优秀学生</w:t>
      </w:r>
      <w:r>
        <w:rPr>
          <w:rFonts w:hint="eastAsia" w:ascii="宋体" w:hAnsi="宋体"/>
          <w:sz w:val="24"/>
          <w:szCs w:val="24"/>
        </w:rPr>
        <w:t>利用所学的知识，</w:t>
      </w:r>
      <w:r>
        <w:rPr>
          <w:rFonts w:hint="eastAsia" w:asciiTheme="minorEastAsia" w:hAnsiTheme="minorEastAsia" w:eastAsiaTheme="minorEastAsia"/>
          <w:sz w:val="24"/>
          <w:szCs w:val="24"/>
        </w:rPr>
        <w:t>在课外时间以集体或个人形式，服务社区，参与</w:t>
      </w:r>
      <w:r>
        <w:rPr>
          <w:rFonts w:hint="eastAsia" w:ascii="宋体" w:hAnsi="宋体"/>
          <w:sz w:val="24"/>
          <w:szCs w:val="24"/>
        </w:rPr>
        <w:t>社区居民、群众交流互动、</w:t>
      </w:r>
      <w:r>
        <w:rPr>
          <w:rFonts w:hint="eastAsia" w:asciiTheme="minorEastAsia" w:hAnsiTheme="minorEastAsia" w:eastAsiaTheme="minorEastAsia"/>
          <w:sz w:val="24"/>
          <w:szCs w:val="24"/>
        </w:rPr>
        <w:t>发展自我、</w:t>
      </w:r>
      <w:r>
        <w:rPr>
          <w:rFonts w:hint="eastAsia" w:ascii="宋体" w:hAnsi="宋体"/>
          <w:sz w:val="24"/>
          <w:szCs w:val="24"/>
        </w:rPr>
        <w:t>多方面体验的公益活动。</w:t>
      </w:r>
    </w:p>
    <w:p>
      <w:pPr>
        <w:widowControl/>
        <w:spacing w:line="400" w:lineRule="exact"/>
        <w:ind w:firstLine="480" w:firstLineChars="200"/>
        <w:rPr>
          <w:rFonts w:cs="宋体" w:asciiTheme="minorEastAsia" w:hAnsiTheme="minorEastAsia" w:eastAsiaTheme="minorEastAsia"/>
          <w:kern w:val="0"/>
          <w:sz w:val="24"/>
          <w:szCs w:val="24"/>
        </w:rPr>
      </w:pPr>
      <w:r>
        <w:rPr>
          <w:rFonts w:hint="eastAsia" w:ascii="宋体" w:hAnsi="宋体"/>
          <w:snapToGrid w:val="0"/>
          <w:sz w:val="24"/>
          <w:szCs w:val="24"/>
        </w:rPr>
        <w:t>充分发挥福州高新区管委会职业教育中心在学校的作用，培育建设</w:t>
      </w:r>
      <w:r>
        <w:rPr>
          <w:rFonts w:hint="eastAsia" w:cs="宋体" w:asciiTheme="minorEastAsia" w:hAnsiTheme="minorEastAsia" w:eastAsiaTheme="minorEastAsia"/>
          <w:kern w:val="0"/>
          <w:sz w:val="24"/>
          <w:szCs w:val="24"/>
        </w:rPr>
        <w:t>具备教学实习、生产实训、技能培训、技能鉴定、技能竞赛、产品研发等多种功能的</w:t>
      </w:r>
      <w:r>
        <w:rPr>
          <w:rFonts w:hint="eastAsia" w:ascii="宋体" w:hAnsi="宋体" w:cs="宋体"/>
          <w:kern w:val="0"/>
          <w:sz w:val="24"/>
          <w:szCs w:val="24"/>
        </w:rPr>
        <w:t>公共实训基地</w:t>
      </w:r>
      <w:r>
        <w:rPr>
          <w:rFonts w:hint="eastAsia" w:cs="宋体" w:asciiTheme="minorEastAsia" w:hAnsiTheme="minorEastAsia" w:eastAsiaTheme="minorEastAsia"/>
          <w:kern w:val="0"/>
          <w:sz w:val="24"/>
          <w:szCs w:val="24"/>
        </w:rPr>
        <w:t>。有效对接</w:t>
      </w:r>
      <w:r>
        <w:rPr>
          <w:rFonts w:hint="eastAsia" w:ascii="宋体" w:hAnsi="宋体" w:cs="宋体"/>
          <w:kern w:val="0"/>
          <w:sz w:val="24"/>
          <w:szCs w:val="24"/>
        </w:rPr>
        <w:t>福州高新区</w:t>
      </w:r>
      <w:r>
        <w:rPr>
          <w:rFonts w:hint="eastAsia" w:cs="宋体" w:asciiTheme="minorEastAsia" w:hAnsiTheme="minorEastAsia" w:eastAsiaTheme="minorEastAsia"/>
          <w:kern w:val="0"/>
          <w:sz w:val="24"/>
          <w:szCs w:val="24"/>
        </w:rPr>
        <w:t>域内主导产业、支柱产业、特色产业、战略新兴产业，密切校企合作，深化教学改革</w:t>
      </w:r>
      <w:r>
        <w:rPr>
          <w:rFonts w:cs="宋体" w:asciiTheme="minorEastAsia" w:hAnsiTheme="minorEastAsia" w:eastAsiaTheme="minorEastAsia"/>
          <w:kern w:val="0"/>
          <w:sz w:val="24"/>
          <w:szCs w:val="24"/>
        </w:rPr>
        <w:t xml:space="preserve">, </w:t>
      </w:r>
      <w:r>
        <w:rPr>
          <w:rFonts w:hint="eastAsia" w:cs="宋体" w:asciiTheme="minorEastAsia" w:hAnsiTheme="minorEastAsia" w:eastAsiaTheme="minorEastAsia"/>
          <w:kern w:val="0"/>
          <w:sz w:val="24"/>
          <w:szCs w:val="24"/>
        </w:rPr>
        <w:t>提高人才培养质量。还要面向学校、生产企业、社会大众提供开放式的</w:t>
      </w:r>
      <w:r>
        <w:rPr>
          <w:rFonts w:hint="eastAsia" w:ascii="宋体" w:hAnsi="宋体" w:cs="宋体"/>
          <w:kern w:val="0"/>
          <w:sz w:val="24"/>
          <w:szCs w:val="24"/>
        </w:rPr>
        <w:t>公共服务</w:t>
      </w:r>
      <w:r>
        <w:rPr>
          <w:rFonts w:hint="eastAsia" w:cs="宋体" w:asciiTheme="minorEastAsia" w:hAnsiTheme="minorEastAsia" w:eastAsiaTheme="minorEastAsia"/>
          <w:kern w:val="0"/>
          <w:sz w:val="24"/>
          <w:szCs w:val="24"/>
        </w:rPr>
        <w:t>。</w:t>
      </w:r>
    </w:p>
    <w:p>
      <w:pPr>
        <w:spacing w:line="400" w:lineRule="exact"/>
        <w:ind w:firstLine="480" w:firstLineChars="200"/>
        <w:rPr>
          <w:rFonts w:ascii="宋体"/>
          <w:sz w:val="24"/>
          <w:szCs w:val="24"/>
        </w:rPr>
      </w:pPr>
    </w:p>
    <w:p>
      <w:pPr>
        <w:spacing w:line="400" w:lineRule="exact"/>
        <w:ind w:firstLine="554" w:firstLineChars="197"/>
        <w:rPr>
          <w:rFonts w:ascii="宋体"/>
          <w:b/>
          <w:sz w:val="28"/>
          <w:szCs w:val="28"/>
        </w:rPr>
      </w:pPr>
      <w:r>
        <w:rPr>
          <w:rFonts w:ascii="宋体" w:hAnsi="宋体"/>
          <w:b/>
          <w:sz w:val="28"/>
          <w:szCs w:val="28"/>
        </w:rPr>
        <w:t xml:space="preserve">7. </w:t>
      </w:r>
      <w:r>
        <w:rPr>
          <w:rFonts w:hint="eastAsia" w:ascii="宋体" w:hAnsi="宋体"/>
          <w:b/>
          <w:sz w:val="28"/>
          <w:szCs w:val="28"/>
        </w:rPr>
        <w:t>特色创新</w:t>
      </w:r>
    </w:p>
    <w:p>
      <w:pPr>
        <w:widowControl/>
        <w:spacing w:line="400" w:lineRule="exact"/>
        <w:ind w:left="1447" w:leftChars="230" w:hanging="964" w:hangingChars="400"/>
        <w:rPr>
          <w:rFonts w:hint="eastAsia" w:ascii="宋体" w:hAnsi="宋体" w:cs="宋体"/>
          <w:b/>
          <w:kern w:val="0"/>
          <w:sz w:val="24"/>
          <w:szCs w:val="24"/>
        </w:rPr>
      </w:pPr>
    </w:p>
    <w:p>
      <w:pPr>
        <w:widowControl/>
        <w:spacing w:line="400" w:lineRule="exact"/>
        <w:ind w:left="1447" w:leftChars="230" w:hanging="964" w:hangingChars="400"/>
        <w:rPr>
          <w:rFonts w:ascii="宋体" w:cs="宋体"/>
          <w:b/>
          <w:kern w:val="0"/>
          <w:sz w:val="24"/>
          <w:szCs w:val="24"/>
        </w:rPr>
      </w:pPr>
      <w:r>
        <w:rPr>
          <w:rFonts w:hint="eastAsia" w:ascii="宋体" w:hAnsi="宋体" w:cs="宋体"/>
          <w:b/>
          <w:kern w:val="0"/>
          <w:sz w:val="24"/>
          <w:szCs w:val="24"/>
        </w:rPr>
        <w:t>案例一：</w:t>
      </w:r>
      <w:r>
        <w:rPr>
          <w:rFonts w:ascii="宋体" w:hAnsi="宋体" w:cs="宋体"/>
          <w:b/>
          <w:kern w:val="0"/>
          <w:sz w:val="24"/>
          <w:szCs w:val="24"/>
        </w:rPr>
        <w:t xml:space="preserve"> </w:t>
      </w:r>
      <w:r>
        <w:rPr>
          <w:rFonts w:hint="eastAsia" w:cs="宋体" w:asciiTheme="minorEastAsia" w:hAnsiTheme="minorEastAsia" w:eastAsiaTheme="minorEastAsia"/>
          <w:b/>
          <w:kern w:val="0"/>
          <w:sz w:val="24"/>
          <w:szCs w:val="24"/>
        </w:rPr>
        <w:t>浪费可耻，节约为荣</w:t>
      </w:r>
      <w:r>
        <w:rPr>
          <w:rFonts w:cs="宋体" w:asciiTheme="minorEastAsia" w:hAnsiTheme="minorEastAsia" w:eastAsiaTheme="minorEastAsia"/>
          <w:b/>
          <w:kern w:val="0"/>
          <w:sz w:val="24"/>
          <w:szCs w:val="24"/>
        </w:rPr>
        <w:t>——</w:t>
      </w:r>
      <w:r>
        <w:rPr>
          <w:rFonts w:hint="eastAsia" w:cs="宋体" w:asciiTheme="minorEastAsia" w:hAnsiTheme="minorEastAsia" w:eastAsiaTheme="minorEastAsia"/>
          <w:b/>
          <w:kern w:val="0"/>
          <w:sz w:val="24"/>
          <w:szCs w:val="24"/>
        </w:rPr>
        <w:t>光盘，我们一直在行动</w:t>
      </w:r>
    </w:p>
    <w:p>
      <w:pPr>
        <w:widowControl/>
        <w:ind w:left="420" w:leftChars="200"/>
        <w:jc w:val="left"/>
        <w:rPr>
          <w:rFonts w:ascii="仿宋_GB2312" w:hAnsi="微软雅黑" w:eastAsia="仿宋_GB2312" w:cs="宋体"/>
          <w:color w:val="000000"/>
          <w:spacing w:val="23"/>
          <w:kern w:val="0"/>
          <w:sz w:val="24"/>
          <w:szCs w:val="24"/>
        </w:rPr>
      </w:pPr>
      <w:r>
        <w:rPr>
          <w:rFonts w:hint="eastAsia" w:ascii="宋体" w:hAnsi="宋体" w:cs="宋体"/>
          <w:b/>
          <w:kern w:val="0"/>
          <w:sz w:val="24"/>
          <w:szCs w:val="24"/>
        </w:rPr>
        <w:t>案例背景：</w:t>
      </w:r>
      <w:r>
        <w:rPr>
          <w:rFonts w:ascii="宋体" w:hAnsi="宋体" w:cs="宋体"/>
          <w:kern w:val="0"/>
          <w:sz w:val="24"/>
          <w:szCs w:val="24"/>
        </w:rPr>
        <w:br w:type="textWrapping"/>
      </w:r>
      <w:r>
        <w:rPr>
          <w:rFonts w:hint="eastAsia" w:ascii="仿宋_GB2312" w:hAnsi="微软雅黑" w:eastAsia="仿宋_GB2312" w:cs="宋体"/>
          <w:color w:val="000000"/>
          <w:spacing w:val="23"/>
          <w:kern w:val="0"/>
          <w:sz w:val="24"/>
          <w:szCs w:val="24"/>
        </w:rPr>
        <w:t>古人云：俭，德之共之；侈，恶之大之。节约，是我们中华民</w:t>
      </w:r>
    </w:p>
    <w:p>
      <w:pPr>
        <w:widowControl/>
        <w:jc w:val="left"/>
        <w:rPr>
          <w:rFonts w:ascii="宋体" w:hAnsi="宋体" w:cs="宋体"/>
          <w:kern w:val="0"/>
          <w:sz w:val="24"/>
          <w:szCs w:val="24"/>
        </w:rPr>
      </w:pPr>
      <w:r>
        <w:rPr>
          <w:rFonts w:hint="eastAsia" w:ascii="仿宋_GB2312" w:hAnsi="微软雅黑" w:eastAsia="仿宋_GB2312" w:cs="宋体"/>
          <w:color w:val="000000"/>
          <w:spacing w:val="23"/>
          <w:kern w:val="0"/>
          <w:sz w:val="24"/>
          <w:szCs w:val="24"/>
        </w:rPr>
        <w:t>族的传统美德。新学期，潍州外国语学校响应号召继续倡导节约粮食，践行光盘行动。</w:t>
      </w:r>
    </w:p>
    <w:p>
      <w:pPr>
        <w:widowControl/>
        <w:shd w:val="clear" w:color="auto" w:fill="FFFCF4"/>
        <w:ind w:firstLine="286" w:firstLineChars="100"/>
        <w:rPr>
          <w:rFonts w:ascii="微软雅黑" w:hAnsi="微软雅黑" w:eastAsia="微软雅黑" w:cs="宋体"/>
          <w:color w:val="000000"/>
          <w:spacing w:val="23"/>
          <w:kern w:val="0"/>
        </w:rPr>
      </w:pPr>
      <w:r>
        <w:rPr>
          <w:rFonts w:hint="eastAsia" w:ascii="仿宋_GB2312" w:hAnsi="微软雅黑" w:eastAsia="仿宋_GB2312" w:cs="宋体"/>
          <w:color w:val="000000"/>
          <w:spacing w:val="23"/>
          <w:kern w:val="0"/>
          <w:sz w:val="24"/>
          <w:szCs w:val="24"/>
        </w:rPr>
        <w:t>受全球新冠疫情影响，今年将新增</w:t>
      </w:r>
      <w:r>
        <w:rPr>
          <w:rFonts w:ascii="仿宋_GB2312" w:hAnsi="微软雅黑" w:eastAsia="仿宋_GB2312" w:cs="宋体"/>
          <w:color w:val="000000"/>
          <w:spacing w:val="23"/>
          <w:kern w:val="0"/>
          <w:sz w:val="24"/>
          <w:szCs w:val="24"/>
        </w:rPr>
        <w:t>1.3</w:t>
      </w:r>
      <w:r>
        <w:rPr>
          <w:rFonts w:hint="eastAsia" w:ascii="仿宋_GB2312" w:hAnsi="微软雅黑" w:eastAsia="仿宋_GB2312" w:cs="宋体"/>
          <w:color w:val="000000"/>
          <w:spacing w:val="23"/>
          <w:kern w:val="0"/>
          <w:sz w:val="24"/>
          <w:szCs w:val="24"/>
        </w:rPr>
        <w:t>亿名饥饿人口，全世界将有</w:t>
      </w:r>
      <w:r>
        <w:rPr>
          <w:rFonts w:ascii="仿宋_GB2312" w:hAnsi="微软雅黑" w:eastAsia="仿宋_GB2312" w:cs="宋体"/>
          <w:color w:val="000000"/>
          <w:spacing w:val="23"/>
          <w:kern w:val="0"/>
          <w:sz w:val="24"/>
          <w:szCs w:val="24"/>
        </w:rPr>
        <w:t>6.9</w:t>
      </w:r>
      <w:r>
        <w:rPr>
          <w:rFonts w:hint="eastAsia" w:ascii="仿宋_GB2312" w:hAnsi="微软雅黑" w:eastAsia="仿宋_GB2312" w:cs="宋体"/>
          <w:color w:val="000000"/>
          <w:spacing w:val="23"/>
          <w:kern w:val="0"/>
          <w:sz w:val="24"/>
          <w:szCs w:val="24"/>
        </w:rPr>
        <w:t>亿人处于饥饿状态。联合国的研究报告发出预警，今年共有</w:t>
      </w:r>
      <w:r>
        <w:rPr>
          <w:rFonts w:ascii="仿宋_GB2312" w:hAnsi="微软雅黑" w:eastAsia="仿宋_GB2312" w:cs="宋体"/>
          <w:color w:val="000000"/>
          <w:spacing w:val="23"/>
          <w:kern w:val="0"/>
          <w:sz w:val="24"/>
          <w:szCs w:val="24"/>
        </w:rPr>
        <w:t>25</w:t>
      </w:r>
      <w:r>
        <w:rPr>
          <w:rFonts w:hint="eastAsia" w:ascii="仿宋_GB2312" w:hAnsi="微软雅黑" w:eastAsia="仿宋_GB2312" w:cs="宋体"/>
          <w:color w:val="000000"/>
          <w:spacing w:val="23"/>
          <w:kern w:val="0"/>
          <w:sz w:val="24"/>
          <w:szCs w:val="24"/>
        </w:rPr>
        <w:t>个国家面临严重饥饿风险，世界濒临至少</w:t>
      </w:r>
      <w:r>
        <w:rPr>
          <w:rFonts w:ascii="仿宋_GB2312" w:hAnsi="微软雅黑" w:eastAsia="仿宋_GB2312" w:cs="宋体"/>
          <w:color w:val="000000"/>
          <w:spacing w:val="23"/>
          <w:kern w:val="0"/>
          <w:sz w:val="24"/>
          <w:szCs w:val="24"/>
        </w:rPr>
        <w:t>50</w:t>
      </w:r>
      <w:r>
        <w:rPr>
          <w:rFonts w:hint="eastAsia" w:ascii="仿宋_GB2312" w:hAnsi="微软雅黑" w:eastAsia="仿宋_GB2312" w:cs="宋体"/>
          <w:color w:val="000000"/>
          <w:spacing w:val="23"/>
          <w:kern w:val="0"/>
          <w:sz w:val="24"/>
          <w:szCs w:val="24"/>
        </w:rPr>
        <w:t>年来最严重的粮食危机。特殊时期、关键时刻，国家再次点名遏制“舌尖上的浪费”，再次强调粮食安全问题，意义极其重大！</w:t>
      </w:r>
      <w:r>
        <w:rPr>
          <w:rFonts w:ascii="宋体" w:hAnsi="宋体" w:cs="宋体"/>
          <w:kern w:val="0"/>
          <w:sz w:val="24"/>
          <w:szCs w:val="24"/>
        </w:rPr>
        <w:drawing>
          <wp:inline distT="0" distB="0" distL="114300" distR="114300">
            <wp:extent cx="2333625" cy="1914525"/>
            <wp:effectExtent l="0" t="0" r="3175" b="3175"/>
            <wp:docPr id="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8"/>
                    <pic:cNvPicPr>
                      <a:picLocks noChangeAspect="1"/>
                    </pic:cNvPicPr>
                  </pic:nvPicPr>
                  <pic:blipFill>
                    <a:blip r:embed="rId12"/>
                    <a:stretch>
                      <a:fillRect/>
                    </a:stretch>
                  </pic:blipFill>
                  <pic:spPr>
                    <a:xfrm>
                      <a:off x="0" y="0"/>
                      <a:ext cx="2333625" cy="1914525"/>
                    </a:xfrm>
                    <a:prstGeom prst="rect">
                      <a:avLst/>
                    </a:prstGeom>
                    <a:noFill/>
                    <a:ln>
                      <a:noFill/>
                    </a:ln>
                  </pic:spPr>
                </pic:pic>
              </a:graphicData>
            </a:graphic>
          </wp:inline>
        </w:drawing>
      </w:r>
      <w:r>
        <w:rPr>
          <w:rFonts w:ascii="宋体" w:hAnsi="宋体" w:cs="宋体"/>
          <w:kern w:val="0"/>
          <w:sz w:val="24"/>
          <w:szCs w:val="24"/>
        </w:rPr>
        <w:t xml:space="preserve">    </w:t>
      </w:r>
      <w:r>
        <w:rPr>
          <w:rFonts w:ascii="宋体" w:hAnsi="宋体" w:cs="宋体"/>
          <w:kern w:val="0"/>
          <w:sz w:val="24"/>
          <w:szCs w:val="24"/>
        </w:rPr>
        <w:drawing>
          <wp:inline distT="0" distB="0" distL="114300" distR="114300">
            <wp:extent cx="2324100" cy="1971675"/>
            <wp:effectExtent l="0" t="0" r="0" b="9525"/>
            <wp:docPr id="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7"/>
                    <pic:cNvPicPr>
                      <a:picLocks noChangeAspect="1"/>
                    </pic:cNvPicPr>
                  </pic:nvPicPr>
                  <pic:blipFill>
                    <a:blip r:embed="rId13"/>
                    <a:stretch>
                      <a:fillRect/>
                    </a:stretch>
                  </pic:blipFill>
                  <pic:spPr>
                    <a:xfrm>
                      <a:off x="0" y="0"/>
                      <a:ext cx="2324100" cy="1971675"/>
                    </a:xfrm>
                    <a:prstGeom prst="rect">
                      <a:avLst/>
                    </a:prstGeom>
                    <a:noFill/>
                    <a:ln>
                      <a:noFill/>
                    </a:ln>
                  </pic:spPr>
                </pic:pic>
              </a:graphicData>
            </a:graphic>
          </wp:inline>
        </w:drawing>
      </w:r>
    </w:p>
    <w:p>
      <w:pPr>
        <w:widowControl/>
        <w:jc w:val="left"/>
        <w:rPr>
          <w:rFonts w:ascii="宋体" w:hAnsi="宋体" w:cs="宋体"/>
          <w:b/>
          <w:kern w:val="0"/>
          <w:sz w:val="24"/>
          <w:szCs w:val="24"/>
        </w:rPr>
      </w:pPr>
      <w:r>
        <w:rPr>
          <w:rFonts w:hint="eastAsia" w:ascii="宋体" w:hAnsi="宋体" w:cs="宋体"/>
          <w:b/>
          <w:kern w:val="0"/>
          <w:sz w:val="24"/>
          <w:szCs w:val="24"/>
        </w:rPr>
        <w:t>案例分析：</w:t>
      </w:r>
    </w:p>
    <w:p>
      <w:pPr>
        <w:widowControl/>
        <w:jc w:val="left"/>
        <w:rPr>
          <w:rFonts w:ascii="宋体" w:hAnsi="宋体" w:cs="宋体"/>
          <w:kern w:val="0"/>
          <w:sz w:val="24"/>
          <w:szCs w:val="24"/>
        </w:rPr>
      </w:pPr>
    </w:p>
    <w:p>
      <w:pPr>
        <w:widowControl/>
        <w:ind w:left="480" w:hanging="480" w:hangingChars="200"/>
        <w:jc w:val="left"/>
        <w:rPr>
          <w:rFonts w:hint="eastAsia" w:ascii="仿宋" w:hAnsi="仿宋" w:eastAsia="仿宋" w:cs="宋体"/>
          <w:kern w:val="0"/>
          <w:sz w:val="24"/>
          <w:szCs w:val="24"/>
        </w:rPr>
      </w:pPr>
      <w:r>
        <w:rPr>
          <w:rFonts w:ascii="仿宋" w:hAnsi="仿宋" w:eastAsia="仿宋" w:cs="宋体"/>
          <w:kern w:val="0"/>
          <w:sz w:val="24"/>
          <w:szCs w:val="24"/>
        </w:rPr>
        <w:t xml:space="preserve">01 </w:t>
      </w:r>
      <w:r>
        <w:rPr>
          <w:rFonts w:hint="eastAsia" w:ascii="仿宋" w:hAnsi="仿宋" w:eastAsia="仿宋" w:cs="宋体"/>
          <w:kern w:val="0"/>
          <w:sz w:val="24"/>
          <w:szCs w:val="24"/>
        </w:rPr>
        <w:t>做“光盘行动”宣传员</w:t>
      </w:r>
      <w:r>
        <w:rPr>
          <w:rFonts w:ascii="仿宋" w:hAnsi="仿宋" w:eastAsia="仿宋" w:cs="宋体"/>
          <w:kern w:val="0"/>
          <w:sz w:val="24"/>
          <w:szCs w:val="24"/>
        </w:rPr>
        <w:br w:type="textWrapping"/>
      </w:r>
      <w:r>
        <w:rPr>
          <w:rFonts w:ascii="仿宋" w:hAnsi="仿宋" w:eastAsia="仿宋" w:cs="宋体"/>
          <w:kern w:val="0"/>
          <w:sz w:val="24"/>
          <w:szCs w:val="24"/>
        </w:rPr>
        <w:t>2020</w:t>
      </w:r>
      <w:r>
        <w:rPr>
          <w:rFonts w:hint="eastAsia" w:ascii="仿宋" w:hAnsi="仿宋" w:eastAsia="仿宋" w:cs="宋体"/>
          <w:kern w:val="0"/>
          <w:sz w:val="24"/>
          <w:szCs w:val="24"/>
        </w:rPr>
        <w:t>年</w:t>
      </w:r>
      <w:r>
        <w:rPr>
          <w:rFonts w:ascii="仿宋" w:hAnsi="仿宋" w:eastAsia="仿宋" w:cs="宋体"/>
          <w:kern w:val="0"/>
          <w:sz w:val="24"/>
          <w:szCs w:val="24"/>
        </w:rPr>
        <w:t>11</w:t>
      </w:r>
      <w:r>
        <w:rPr>
          <w:rFonts w:hint="eastAsia" w:ascii="仿宋" w:hAnsi="仿宋" w:eastAsia="仿宋" w:cs="宋体"/>
          <w:kern w:val="0"/>
          <w:sz w:val="24"/>
          <w:szCs w:val="24"/>
        </w:rPr>
        <w:t>月，福州高新区美术中等职业学校开展了《浪费可耻，节约为荣</w:t>
      </w:r>
      <w:r>
        <w:rPr>
          <w:rFonts w:ascii="仿宋" w:hAnsi="仿宋" w:eastAsia="仿宋" w:cs="宋体"/>
          <w:kern w:val="0"/>
          <w:sz w:val="24"/>
          <w:szCs w:val="24"/>
        </w:rPr>
        <w:t>——</w:t>
      </w:r>
    </w:p>
    <w:p>
      <w:pPr>
        <w:widowControl/>
        <w:jc w:val="left"/>
        <w:rPr>
          <w:rFonts w:ascii="宋体" w:hAnsi="宋体" w:cs="宋体"/>
          <w:kern w:val="0"/>
          <w:sz w:val="24"/>
          <w:szCs w:val="24"/>
        </w:rPr>
      </w:pPr>
      <w:r>
        <w:rPr>
          <w:rFonts w:hint="eastAsia" w:ascii="仿宋" w:hAnsi="仿宋" w:eastAsia="仿宋" w:cs="宋体"/>
          <w:kern w:val="0"/>
          <w:sz w:val="24"/>
          <w:szCs w:val="24"/>
        </w:rPr>
        <w:t>光盘，我们一直在行动》主题队会，让学生深刻的认识到浪费粮食关系到国家和民族的生死存亡。培养学生的节约美德，能主动提醒身边的亲人朋友，积极制止浪费粮食现象的发生，积极参加文明餐桌行动，营造节俭用餐的良好风气。</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节约粮食，不仅仅是一种口号，不仅仅是因为我们和所有人的号召与呼吁，我们希望它是一种情结，熔铸在你与我的心中，从而自觉做到节约粮食。</w:t>
      </w:r>
    </w:p>
    <w:p>
      <w:pPr>
        <w:widowControl/>
        <w:ind w:left="420"/>
        <w:jc w:val="center"/>
        <w:rPr>
          <w:rFonts w:ascii="宋体" w:hAnsi="宋体" w:cs="宋体"/>
          <w:kern w:val="0"/>
          <w:sz w:val="24"/>
          <w:szCs w:val="24"/>
        </w:rPr>
      </w:pPr>
      <w:r>
        <w:rPr>
          <w:rFonts w:ascii="宋体" w:hAnsi="宋体" w:cs="宋体"/>
          <w:kern w:val="0"/>
          <w:sz w:val="24"/>
          <w:szCs w:val="24"/>
        </w:rPr>
        <w:drawing>
          <wp:inline distT="0" distB="0" distL="114300" distR="114300">
            <wp:extent cx="2800350" cy="1733550"/>
            <wp:effectExtent l="0" t="0" r="6350" b="6350"/>
            <wp:docPr id="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5"/>
                    <pic:cNvPicPr>
                      <a:picLocks noChangeAspect="1"/>
                    </pic:cNvPicPr>
                  </pic:nvPicPr>
                  <pic:blipFill>
                    <a:blip r:embed="rId14"/>
                    <a:stretch>
                      <a:fillRect/>
                    </a:stretch>
                  </pic:blipFill>
                  <pic:spPr>
                    <a:xfrm>
                      <a:off x="0" y="0"/>
                      <a:ext cx="2800350" cy="1733550"/>
                    </a:xfrm>
                    <a:prstGeom prst="rect">
                      <a:avLst/>
                    </a:prstGeom>
                    <a:noFill/>
                    <a:ln>
                      <a:noFill/>
                    </a:ln>
                  </pic:spPr>
                </pic:pic>
              </a:graphicData>
            </a:graphic>
          </wp:inline>
        </w:drawing>
      </w:r>
    </w:p>
    <w:p>
      <w:pPr>
        <w:widowControl/>
        <w:ind w:left="420"/>
        <w:jc w:val="center"/>
        <w:rPr>
          <w:rFonts w:ascii="宋体" w:hAnsi="宋体" w:cs="宋体"/>
          <w:kern w:val="0"/>
          <w:sz w:val="24"/>
          <w:szCs w:val="24"/>
        </w:rPr>
      </w:pPr>
      <w:r>
        <w:rPr>
          <w:rFonts w:ascii="宋体" w:hAnsi="宋体" w:cs="宋体"/>
          <w:kern w:val="0"/>
          <w:sz w:val="24"/>
          <w:szCs w:val="24"/>
        </w:rPr>
        <w:drawing>
          <wp:inline distT="0" distB="0" distL="114300" distR="114300">
            <wp:extent cx="2800350" cy="1552575"/>
            <wp:effectExtent l="0" t="0" r="6350" b="9525"/>
            <wp:docPr id="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4"/>
                    <pic:cNvPicPr>
                      <a:picLocks noChangeAspect="1"/>
                    </pic:cNvPicPr>
                  </pic:nvPicPr>
                  <pic:blipFill>
                    <a:blip r:embed="rId15"/>
                    <a:stretch>
                      <a:fillRect/>
                    </a:stretch>
                  </pic:blipFill>
                  <pic:spPr>
                    <a:xfrm>
                      <a:off x="0" y="0"/>
                      <a:ext cx="2800350" cy="1552575"/>
                    </a:xfrm>
                    <a:prstGeom prst="rect">
                      <a:avLst/>
                    </a:prstGeom>
                    <a:noFill/>
                    <a:ln>
                      <a:noFill/>
                    </a:ln>
                  </pic:spPr>
                </pic:pic>
              </a:graphicData>
            </a:graphic>
          </wp:inline>
        </w:drawing>
      </w:r>
      <w:r>
        <w:rPr>
          <w:rFonts w:ascii="宋体" w:hAnsi="宋体" w:cs="宋体"/>
          <w:kern w:val="0"/>
          <w:sz w:val="24"/>
          <w:szCs w:val="24"/>
        </w:rPr>
        <w:br w:type="textWrapping"/>
      </w:r>
    </w:p>
    <w:p>
      <w:pPr>
        <w:widowControl/>
        <w:jc w:val="left"/>
        <w:rPr>
          <w:rFonts w:ascii="宋体" w:hAnsi="宋体" w:cs="宋体"/>
          <w:kern w:val="0"/>
          <w:sz w:val="24"/>
          <w:szCs w:val="24"/>
        </w:rPr>
      </w:pPr>
      <w:r>
        <w:rPr>
          <w:rFonts w:ascii="宋体" w:hAnsi="宋体" w:cs="宋体"/>
          <w:kern w:val="0"/>
          <w:sz w:val="24"/>
          <w:szCs w:val="24"/>
        </w:rPr>
        <w:t>02</w:t>
      </w:r>
      <w:r>
        <w:rPr>
          <w:rFonts w:hint="eastAsia" w:ascii="仿宋_GB2312" w:hAnsi="宋体" w:eastAsia="仿宋_GB2312" w:cs="宋体"/>
          <w:kern w:val="0"/>
          <w:sz w:val="24"/>
          <w:szCs w:val="24"/>
        </w:rPr>
        <w:t>做“光盘行动”践行者</w:t>
      </w:r>
    </w:p>
    <w:p>
      <w:pPr>
        <w:widowControl/>
        <w:ind w:firstLine="360" w:firstLineChars="150"/>
        <w:jc w:val="left"/>
        <w:rPr>
          <w:rFonts w:ascii="宋体" w:hAnsi="宋体" w:cs="宋体"/>
          <w:kern w:val="0"/>
          <w:sz w:val="24"/>
          <w:szCs w:val="24"/>
        </w:rPr>
      </w:pPr>
      <w:r>
        <w:rPr>
          <w:rFonts w:hint="eastAsia" w:ascii="仿宋_GB2312" w:hAnsi="宋体" w:eastAsia="仿宋_GB2312" w:cs="宋体"/>
          <w:kern w:val="0"/>
          <w:sz w:val="24"/>
          <w:szCs w:val="24"/>
        </w:rPr>
        <w:t>小小餐桌，传承了中华民族的优秀文化和尊重劳动、爱惜粮食的传统美德。节约粮食，文明用餐，不仅是个人良好素质的真实体现，更是一种勤俭节约美德的一种塑造。大家都应该从自身做起，弘扬中华民族的传统美德。厉行节约，反对浪费。让我们一起对舌尖上的浪费说“不”！</w:t>
      </w:r>
    </w:p>
    <w:p>
      <w:pPr>
        <w:widowControl/>
        <w:ind w:firstLine="1572" w:firstLineChars="655"/>
        <w:jc w:val="left"/>
        <w:rPr>
          <w:rFonts w:ascii="宋体" w:hAnsi="宋体" w:cs="宋体"/>
          <w:kern w:val="0"/>
          <w:sz w:val="24"/>
          <w:szCs w:val="24"/>
        </w:rPr>
      </w:pPr>
      <w:r>
        <w:rPr>
          <w:rFonts w:ascii="宋体" w:hAnsi="宋体" w:cs="宋体"/>
          <w:kern w:val="0"/>
          <w:sz w:val="24"/>
          <w:szCs w:val="24"/>
        </w:rPr>
        <w:drawing>
          <wp:inline distT="0" distB="0" distL="114300" distR="114300">
            <wp:extent cx="2924175" cy="1733550"/>
            <wp:effectExtent l="0" t="0" r="9525" b="6350"/>
            <wp:docPr id="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3"/>
                    <pic:cNvPicPr>
                      <a:picLocks noChangeAspect="1"/>
                    </pic:cNvPicPr>
                  </pic:nvPicPr>
                  <pic:blipFill>
                    <a:blip r:embed="rId16"/>
                    <a:stretch>
                      <a:fillRect/>
                    </a:stretch>
                  </pic:blipFill>
                  <pic:spPr>
                    <a:xfrm>
                      <a:off x="0" y="0"/>
                      <a:ext cx="2924175" cy="1733550"/>
                    </a:xfrm>
                    <a:prstGeom prst="rect">
                      <a:avLst/>
                    </a:prstGeom>
                    <a:noFill/>
                    <a:ln>
                      <a:noFill/>
                    </a:ln>
                  </pic:spPr>
                </pic:pic>
              </a:graphicData>
            </a:graphic>
          </wp:inline>
        </w:drawing>
      </w:r>
    </w:p>
    <w:p>
      <w:pPr>
        <w:widowControl/>
        <w:ind w:firstLine="1572" w:firstLineChars="655"/>
        <w:jc w:val="left"/>
        <w:rPr>
          <w:rFonts w:ascii="宋体" w:hAnsi="宋体" w:cs="宋体"/>
          <w:kern w:val="0"/>
          <w:sz w:val="24"/>
          <w:szCs w:val="24"/>
        </w:rPr>
      </w:pPr>
      <w:r>
        <w:rPr>
          <w:rFonts w:ascii="宋体" w:hAnsi="宋体" w:cs="宋体"/>
          <w:kern w:val="0"/>
          <w:sz w:val="24"/>
          <w:szCs w:val="24"/>
        </w:rPr>
        <w:drawing>
          <wp:inline distT="0" distB="0" distL="114300" distR="114300">
            <wp:extent cx="2924175" cy="1924050"/>
            <wp:effectExtent l="0" t="0" r="9525" b="6350"/>
            <wp:docPr id="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2"/>
                    <pic:cNvPicPr>
                      <a:picLocks noChangeAspect="1"/>
                    </pic:cNvPicPr>
                  </pic:nvPicPr>
                  <pic:blipFill>
                    <a:blip r:embed="rId17"/>
                    <a:stretch>
                      <a:fillRect/>
                    </a:stretch>
                  </pic:blipFill>
                  <pic:spPr>
                    <a:xfrm>
                      <a:off x="0" y="0"/>
                      <a:ext cx="2924175" cy="1924050"/>
                    </a:xfrm>
                    <a:prstGeom prst="rect">
                      <a:avLst/>
                    </a:prstGeom>
                    <a:noFill/>
                    <a:ln>
                      <a:noFill/>
                    </a:ln>
                  </pic:spPr>
                </pic:pic>
              </a:graphicData>
            </a:graphic>
          </wp:inline>
        </w:drawing>
      </w:r>
    </w:p>
    <w:p>
      <w:pPr>
        <w:widowControl/>
        <w:ind w:firstLine="1440" w:firstLineChars="600"/>
        <w:rPr>
          <w:rFonts w:ascii="宋体" w:hAnsi="宋体" w:cs="宋体"/>
          <w:kern w:val="0"/>
          <w:sz w:val="24"/>
          <w:szCs w:val="24"/>
        </w:rPr>
      </w:pPr>
      <w:r>
        <w:rPr>
          <w:rFonts w:ascii="宋体" w:hAnsi="宋体" w:cs="宋体"/>
          <w:kern w:val="0"/>
          <w:sz w:val="24"/>
          <w:szCs w:val="24"/>
        </w:rPr>
        <w:drawing>
          <wp:inline distT="0" distB="0" distL="114300" distR="114300">
            <wp:extent cx="3048000" cy="1828800"/>
            <wp:effectExtent l="0" t="0" r="0" b="0"/>
            <wp:docPr id="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pic:cNvPicPr>
                      <a:picLocks noChangeAspect="1"/>
                    </pic:cNvPicPr>
                  </pic:nvPicPr>
                  <pic:blipFill>
                    <a:blip r:embed="rId18"/>
                    <a:stretch>
                      <a:fillRect/>
                    </a:stretch>
                  </pic:blipFill>
                  <pic:spPr>
                    <a:xfrm>
                      <a:off x="0" y="0"/>
                      <a:ext cx="3048000" cy="1828800"/>
                    </a:xfrm>
                    <a:prstGeom prst="rect">
                      <a:avLst/>
                    </a:prstGeom>
                    <a:noFill/>
                    <a:ln>
                      <a:noFill/>
                    </a:ln>
                  </pic:spPr>
                </pic:pic>
              </a:graphicData>
            </a:graphic>
          </wp:inline>
        </w:drawing>
      </w:r>
    </w:p>
    <w:p>
      <w:pPr>
        <w:widowControl/>
        <w:jc w:val="left"/>
        <w:rPr>
          <w:rFonts w:ascii="宋体" w:hAnsi="宋体" w:cs="宋体"/>
          <w:kern w:val="0"/>
          <w:sz w:val="24"/>
          <w:szCs w:val="24"/>
        </w:rPr>
      </w:pPr>
      <w:r>
        <w:rPr>
          <w:rFonts w:ascii="宋体" w:hAnsi="宋体" w:cs="宋体"/>
          <w:kern w:val="0"/>
          <w:sz w:val="24"/>
          <w:szCs w:val="24"/>
        </w:rPr>
        <w:t>—</w:t>
      </w:r>
      <w:r>
        <w:rPr>
          <w:rFonts w:ascii="宋体" w:hAnsi="宋体" w:cs="宋体"/>
          <w:kern w:val="0"/>
          <w:sz w:val="24"/>
          <w:szCs w:val="24"/>
        </w:rPr>
        <w:drawing>
          <wp:inline distT="0" distB="0" distL="114300" distR="114300">
            <wp:extent cx="180975" cy="190500"/>
            <wp:effectExtent l="0" t="0" r="9525" b="0"/>
            <wp:docPr id="1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0"/>
                    <pic:cNvPicPr>
                      <a:picLocks noChangeAspect="1"/>
                    </pic:cNvPicPr>
                  </pic:nvPicPr>
                  <pic:blipFill>
                    <a:blip r:embed="rId19"/>
                    <a:stretch>
                      <a:fillRect/>
                    </a:stretch>
                  </pic:blipFill>
                  <pic:spPr>
                    <a:xfrm>
                      <a:off x="0" y="0"/>
                      <a:ext cx="180975" cy="190500"/>
                    </a:xfrm>
                    <a:prstGeom prst="rect">
                      <a:avLst/>
                    </a:prstGeom>
                    <a:noFill/>
                    <a:ln>
                      <a:noFill/>
                    </a:ln>
                  </pic:spPr>
                </pic:pic>
              </a:graphicData>
            </a:graphic>
          </wp:inline>
        </w:drawing>
      </w:r>
      <w:r>
        <w:rPr>
          <w:rFonts w:hint="eastAsia" w:ascii="宋体" w:hAnsi="宋体" w:cs="宋体"/>
          <w:kern w:val="0"/>
          <w:sz w:val="24"/>
          <w:szCs w:val="24"/>
        </w:rPr>
        <w:t>光盘行动</w:t>
      </w:r>
      <w:r>
        <w:rPr>
          <w:rFonts w:ascii="宋体" w:hAnsi="宋体" w:cs="宋体"/>
          <w:kern w:val="0"/>
          <w:sz w:val="24"/>
          <w:szCs w:val="24"/>
        </w:rPr>
        <w:br w:type="textWrapping"/>
      </w:r>
      <w:r>
        <w:rPr>
          <w:rFonts w:ascii="宋体" w:hAnsi="宋体" w:cs="宋体"/>
          <w:kern w:val="0"/>
          <w:sz w:val="24"/>
          <w:szCs w:val="24"/>
        </w:rPr>
        <w:t>03</w:t>
      </w:r>
      <w:r>
        <w:rPr>
          <w:rFonts w:hint="eastAsia" w:ascii="宋体" w:hAnsi="宋体" w:cs="宋体"/>
          <w:kern w:val="0"/>
          <w:sz w:val="24"/>
          <w:szCs w:val="24"/>
        </w:rPr>
        <w:t>”光盘行动”倡议书</w:t>
      </w:r>
    </w:p>
    <w:p>
      <w:pPr>
        <w:widowControl/>
        <w:jc w:val="center"/>
        <w:rPr>
          <w:rFonts w:ascii="宋体" w:hAnsi="宋体" w:cs="宋体"/>
          <w:kern w:val="0"/>
          <w:sz w:val="24"/>
          <w:szCs w:val="24"/>
        </w:rPr>
      </w:pPr>
      <w:r>
        <w:rPr>
          <w:rFonts w:hint="eastAsia" w:ascii="宋体" w:hAnsi="宋体" w:cs="宋体"/>
          <w:kern w:val="0"/>
          <w:sz w:val="24"/>
          <w:szCs w:val="24"/>
        </w:rPr>
        <w:t>“浪费可耻，节约为荣”清盘活动倡议书</w:t>
      </w:r>
    </w:p>
    <w:p>
      <w:pPr>
        <w:widowControl/>
        <w:jc w:val="left"/>
        <w:rPr>
          <w:rFonts w:ascii="宋体" w:hAnsi="宋体" w:cs="宋体"/>
          <w:kern w:val="0"/>
          <w:sz w:val="24"/>
          <w:szCs w:val="24"/>
        </w:rPr>
      </w:pPr>
      <w:r>
        <w:rPr>
          <w:rFonts w:hint="eastAsia" w:ascii="宋体" w:hAnsi="宋体" w:cs="宋体"/>
          <w:kern w:val="0"/>
          <w:sz w:val="24"/>
          <w:szCs w:val="24"/>
        </w:rPr>
        <w:t>尊敬的同学们、家长们：</w:t>
      </w:r>
    </w:p>
    <w:p>
      <w:pPr>
        <w:widowControl/>
        <w:jc w:val="left"/>
        <w:rPr>
          <w:rFonts w:ascii="宋体" w:hAns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餐桌文明、珍惜粮食是中华民族的传统美德，是国家发展、社会进步的具体体现，更是社会主义核心价值观的重要内容。为了响应习近平总书记的号召，倡导健康文明的生活方式，自觉引领“文明消费，节约用餐”的时代风尚，特向广大师生发出如下倡议</w:t>
      </w:r>
      <w:r>
        <w:rPr>
          <w:rFonts w:ascii="宋体" w:hAnsi="宋体" w:cs="宋体"/>
          <w:kern w:val="0"/>
          <w:sz w:val="24"/>
          <w:szCs w:val="24"/>
        </w:rPr>
        <w:t>:</w:t>
      </w:r>
    </w:p>
    <w:p>
      <w:pPr>
        <w:widowControl/>
        <w:jc w:val="left"/>
        <w:rPr>
          <w:rFonts w:ascii="宋体" w:hAns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一、传承勤俭节约美德。要积极传承尊重劳动、珍惜粮食、勤俭节约的传统美德，大力弘扬勤俭节约、艰苦奋斗的崇高精神，倡导“文明就餐，杜绝浪费”的用餐文化，营造“浪费可耻，节约为荣”的良好氛围。</w:t>
      </w:r>
    </w:p>
    <w:p>
      <w:pPr>
        <w:widowControl/>
        <w:jc w:val="left"/>
        <w:rPr>
          <w:rFonts w:ascii="宋体" w:hAns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二、倡导文明理性消费。要自觉做中华礼仪文化的宣传者、实践者、监督者，倡导“适量点餐，剩餐打包”的用餐文化，在日常用餐、聚餐和宴会中，积极倡导“吃多少点多少”的理性消费理念，摒弃“爱面子”、“讲排场”陋习。</w:t>
      </w:r>
    </w:p>
    <w:p>
      <w:pPr>
        <w:widowControl/>
        <w:jc w:val="left"/>
        <w:rPr>
          <w:rFonts w:ascii="宋体" w:hAns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三、养成健康饮食习惯。要注重膳食均衡，合理搭配菜品，改变不良饮食习惯，不偏食、不挑食、不暴饮暴食，养成健康合理的就餐方式，坚决抵制野生动物上餐桌。</w:t>
      </w:r>
    </w:p>
    <w:p>
      <w:pPr>
        <w:widowControl/>
        <w:jc w:val="left"/>
        <w:rPr>
          <w:rFonts w:ascii="宋体" w:hAnsi="宋体" w:cs="宋体"/>
          <w:kern w:val="0"/>
          <w:sz w:val="24"/>
          <w:szCs w:val="24"/>
        </w:rPr>
      </w:pPr>
      <w:r>
        <w:rPr>
          <w:rFonts w:ascii="宋体" w:hAnsi="宋体" w:cs="宋体"/>
          <w:kern w:val="0"/>
          <w:sz w:val="24"/>
          <w:szCs w:val="24"/>
        </w:rPr>
        <w:t xml:space="preserve">  </w:t>
      </w:r>
      <w:r>
        <w:rPr>
          <w:rFonts w:hint="eastAsia" w:ascii="宋体" w:hAnsi="宋体" w:cs="宋体"/>
          <w:kern w:val="0"/>
          <w:sz w:val="24"/>
          <w:szCs w:val="24"/>
        </w:rPr>
        <w:t xml:space="preserve"> 四、争做“光盘行动”榜样。“谁知盘中餐，粒粒皆辛苦。”践行“光盘行动”，做到“厨房不多做、食堂不多打、餐厅不多点、碗碟不剩菜”，做好表率，主动提醒身边亲朋好友，及时制止浪费现象，拒绝“舌尖上的浪费”。</w:t>
      </w:r>
    </w:p>
    <w:p>
      <w:pPr>
        <w:widowControl/>
        <w:jc w:val="left"/>
        <w:rPr>
          <w:rFonts w:ascii="宋体" w:hAnsi="宋体" w:cs="宋体"/>
          <w:kern w:val="0"/>
          <w:sz w:val="24"/>
          <w:szCs w:val="24"/>
        </w:rPr>
      </w:pPr>
    </w:p>
    <w:p>
      <w:pPr>
        <w:widowControl/>
        <w:jc w:val="center"/>
        <w:rPr>
          <w:rFonts w:ascii="宋体" w:hAnsi="宋体" w:cs="宋体"/>
          <w:kern w:val="0"/>
          <w:sz w:val="24"/>
          <w:szCs w:val="24"/>
        </w:rPr>
      </w:pPr>
      <w:r>
        <w:rPr>
          <w:rFonts w:ascii="仿宋_GB2312" w:hAnsi="宋体" w:eastAsia="仿宋_GB2312" w:cs="宋体"/>
          <w:kern w:val="0"/>
          <w:sz w:val="24"/>
          <w:szCs w:val="24"/>
        </w:rPr>
        <w:drawing>
          <wp:inline distT="0" distB="0" distL="114300" distR="114300">
            <wp:extent cx="4124325" cy="3267075"/>
            <wp:effectExtent l="0" t="0" r="3175" b="9525"/>
            <wp:docPr id="1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9"/>
                    <pic:cNvPicPr>
                      <a:picLocks noChangeAspect="1"/>
                    </pic:cNvPicPr>
                  </pic:nvPicPr>
                  <pic:blipFill>
                    <a:blip r:embed="rId20"/>
                    <a:stretch>
                      <a:fillRect/>
                    </a:stretch>
                  </pic:blipFill>
                  <pic:spPr>
                    <a:xfrm>
                      <a:off x="0" y="0"/>
                      <a:ext cx="4124325" cy="3267075"/>
                    </a:xfrm>
                    <a:prstGeom prst="rect">
                      <a:avLst/>
                    </a:prstGeom>
                    <a:noFill/>
                    <a:ln>
                      <a:noFill/>
                    </a:ln>
                  </pic:spPr>
                </pic:pic>
              </a:graphicData>
            </a:graphic>
          </wp:inline>
        </w:drawing>
      </w:r>
    </w:p>
    <w:p>
      <w:pPr>
        <w:widowControl/>
        <w:ind w:left="429" w:hanging="429" w:hangingChars="150"/>
        <w:jc w:val="left"/>
        <w:rPr>
          <w:rFonts w:hint="eastAsia" w:ascii="仿宋_GB2312" w:hAnsi="宋体" w:eastAsia="仿宋_GB2312" w:cs="宋体"/>
          <w:kern w:val="0"/>
          <w:sz w:val="24"/>
          <w:szCs w:val="24"/>
        </w:rPr>
      </w:pPr>
      <w:r>
        <w:rPr>
          <w:rFonts w:ascii="微软雅黑" w:hAnsi="微软雅黑" w:eastAsia="微软雅黑" w:cs="宋体"/>
          <w:b/>
          <w:bCs/>
          <w:color w:val="000000"/>
          <w:spacing w:val="23"/>
          <w:kern w:val="0"/>
          <w:sz w:val="24"/>
          <w:szCs w:val="24"/>
        </w:rPr>
        <w:t>END</w:t>
      </w:r>
      <w:r>
        <w:rPr>
          <w:rFonts w:ascii="微软雅黑" w:hAnsi="微软雅黑" w:eastAsia="微软雅黑" w:cs="宋体"/>
          <w:b/>
          <w:bCs/>
          <w:color w:val="000000"/>
          <w:spacing w:val="23"/>
          <w:kern w:val="0"/>
          <w:sz w:val="24"/>
          <w:szCs w:val="24"/>
        </w:rPr>
        <w:br w:type="textWrapping"/>
      </w:r>
      <w:r>
        <w:rPr>
          <w:rFonts w:hint="eastAsia" w:ascii="仿宋_GB2312" w:hAnsi="宋体" w:eastAsia="仿宋_GB2312" w:cs="宋体"/>
          <w:kern w:val="0"/>
          <w:sz w:val="24"/>
          <w:szCs w:val="24"/>
        </w:rPr>
        <w:t>“人不率则不从，身不先则不信。”美职全体师生要自觉践行绿色生活方式，</w:t>
      </w:r>
    </w:p>
    <w:p>
      <w:pPr>
        <w:widowControl/>
        <w:ind w:left="360" w:hanging="360" w:hangingChars="150"/>
        <w:jc w:val="left"/>
        <w:rPr>
          <w:rFonts w:ascii="宋体" w:hAnsi="宋体" w:cs="宋体"/>
          <w:kern w:val="0"/>
          <w:sz w:val="24"/>
          <w:szCs w:val="24"/>
        </w:rPr>
      </w:pPr>
      <w:r>
        <w:rPr>
          <w:rFonts w:hint="eastAsia" w:ascii="仿宋_GB2312" w:hAnsi="宋体" w:eastAsia="仿宋_GB2312" w:cs="宋体"/>
          <w:kern w:val="0"/>
          <w:sz w:val="24"/>
          <w:szCs w:val="24"/>
        </w:rPr>
        <w:t>落实“光盘行动”，拒绝铺张浪费，把节俭新风落实在行动上。</w:t>
      </w:r>
    </w:p>
    <w:p>
      <w:pPr>
        <w:widowControl/>
        <w:jc w:val="left"/>
        <w:rPr>
          <w:rFonts w:ascii="宋体" w:hAnsi="宋体" w:cs="宋体"/>
          <w:kern w:val="0"/>
          <w:sz w:val="24"/>
          <w:szCs w:val="24"/>
        </w:rPr>
      </w:pPr>
    </w:p>
    <w:p>
      <w:pPr>
        <w:widowControl/>
        <w:ind w:firstLine="482" w:firstLineChars="200"/>
        <w:jc w:val="left"/>
        <w:rPr>
          <w:rFonts w:ascii="仿宋" w:hAnsi="仿宋" w:eastAsia="仿宋" w:cs="宋体"/>
          <w:kern w:val="0"/>
          <w:sz w:val="24"/>
          <w:szCs w:val="24"/>
        </w:rPr>
      </w:pPr>
      <w:r>
        <w:rPr>
          <w:rFonts w:hint="eastAsia" w:ascii="仿宋" w:hAnsi="仿宋" w:eastAsia="仿宋" w:cs="宋体"/>
          <w:b/>
          <w:kern w:val="0"/>
          <w:sz w:val="24"/>
          <w:szCs w:val="24"/>
        </w:rPr>
        <w:t>案例二：</w:t>
      </w:r>
      <w:r>
        <w:rPr>
          <w:rFonts w:ascii="仿宋" w:hAnsi="仿宋" w:eastAsia="仿宋" w:cs="Microsoft YaHei UI"/>
          <w:b/>
          <w:color w:val="191919"/>
          <w:sz w:val="24"/>
          <w:szCs w:val="24"/>
          <w:shd w:val="clear" w:color="auto" w:fill="FFFFFF"/>
        </w:rPr>
        <w:t>观“风華正茂”</w:t>
      </w:r>
      <w:r>
        <w:rPr>
          <w:rFonts w:hint="eastAsia" w:ascii="仿宋" w:hAnsi="仿宋" w:eastAsia="仿宋" w:cs="Microsoft YaHei UI"/>
          <w:color w:val="191919"/>
          <w:sz w:val="24"/>
          <w:szCs w:val="24"/>
          <w:shd w:val="clear" w:color="auto" w:fill="FFFFFF"/>
        </w:rPr>
        <w:t>——闽侯美术中等职业学校专业教师参观</w:t>
      </w:r>
      <w:r>
        <w:rPr>
          <w:rFonts w:ascii="仿宋" w:hAnsi="仿宋" w:eastAsia="仿宋" w:cs="Microsoft YaHei UI"/>
          <w:color w:val="191919"/>
          <w:sz w:val="24"/>
          <w:szCs w:val="24"/>
          <w:shd w:val="clear" w:color="auto" w:fill="FFFFFF"/>
        </w:rPr>
        <w:t>中央美术学院造型学院藏（1951-2017）百张素描作品展有感</w:t>
      </w:r>
    </w:p>
    <w:p>
      <w:pPr>
        <w:jc w:val="center"/>
        <w:rPr>
          <w:rFonts w:hint="eastAsia" w:ascii="Microsoft YaHei UI" w:hAnsi="Microsoft YaHei UI" w:eastAsia="Microsoft YaHei UI" w:cs="Microsoft YaHei UI"/>
          <w:color w:val="191919"/>
          <w:sz w:val="24"/>
          <w:shd w:val="clear" w:color="auto" w:fill="FFFFFF"/>
        </w:rPr>
      </w:pPr>
      <w:r>
        <w:rPr>
          <w:rFonts w:hint="eastAsia" w:ascii="Microsoft YaHei UI" w:hAnsi="Microsoft YaHei UI" w:eastAsia="Microsoft YaHei UI" w:cs="Microsoft YaHei UI"/>
          <w:color w:val="191919"/>
          <w:sz w:val="24"/>
          <w:shd w:val="clear" w:color="auto" w:fill="FFFFFF"/>
        </w:rPr>
        <w:drawing>
          <wp:inline distT="0" distB="0" distL="114300" distR="114300">
            <wp:extent cx="3190875" cy="2943225"/>
            <wp:effectExtent l="0" t="0" r="9525" b="3175"/>
            <wp:docPr id="12" name="图片 1" descr="1微信图片_2020120909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1微信图片_20201209093950"/>
                    <pic:cNvPicPr>
                      <a:picLocks noChangeAspect="1"/>
                    </pic:cNvPicPr>
                  </pic:nvPicPr>
                  <pic:blipFill>
                    <a:blip r:embed="rId21"/>
                    <a:stretch>
                      <a:fillRect/>
                    </a:stretch>
                  </pic:blipFill>
                  <pic:spPr>
                    <a:xfrm>
                      <a:off x="0" y="0"/>
                      <a:ext cx="3190875" cy="2943225"/>
                    </a:xfrm>
                    <a:prstGeom prst="rect">
                      <a:avLst/>
                    </a:prstGeom>
                    <a:noFill/>
                    <a:ln>
                      <a:noFill/>
                    </a:ln>
                  </pic:spPr>
                </pic:pic>
              </a:graphicData>
            </a:graphic>
          </wp:inline>
        </w:drawing>
      </w:r>
    </w:p>
    <w:p>
      <w:pPr>
        <w:spacing w:line="400" w:lineRule="exact"/>
        <w:jc w:val="left"/>
        <w:rPr>
          <w:rFonts w:hint="eastAsia" w:ascii="Microsoft YaHei UI" w:hAnsi="Microsoft YaHei UI" w:eastAsia="Microsoft YaHei UI" w:cs="Microsoft YaHei UI"/>
          <w:b/>
          <w:color w:val="191919"/>
          <w:spacing w:val="3"/>
          <w:sz w:val="24"/>
          <w:shd w:val="clear" w:color="auto" w:fill="FFFFFF"/>
        </w:rPr>
      </w:pPr>
      <w:r>
        <w:rPr>
          <w:rFonts w:hint="eastAsia" w:ascii="Microsoft YaHei UI" w:hAnsi="Microsoft YaHei UI" w:eastAsia="Microsoft YaHei UI" w:cs="Microsoft YaHei UI"/>
          <w:b/>
          <w:color w:val="191919"/>
          <w:spacing w:val="3"/>
          <w:sz w:val="24"/>
          <w:shd w:val="clear" w:color="auto" w:fill="FFFFFF"/>
        </w:rPr>
        <w:t>案例背景：</w:t>
      </w:r>
    </w:p>
    <w:p>
      <w:pPr>
        <w:spacing w:line="400" w:lineRule="exact"/>
        <w:ind w:firstLine="492" w:firstLineChars="200"/>
        <w:jc w:val="left"/>
        <w:rPr>
          <w:rFonts w:ascii="Microsoft YaHei UI" w:hAnsi="Microsoft YaHei UI" w:eastAsia="Microsoft YaHei UI" w:cs="Microsoft YaHei UI"/>
          <w:color w:val="191919"/>
          <w:sz w:val="24"/>
          <w:shd w:val="clear" w:color="auto" w:fill="FFFFFF"/>
        </w:rPr>
      </w:pPr>
      <w:r>
        <w:rPr>
          <w:rFonts w:ascii="Microsoft YaHei UI" w:hAnsi="Microsoft YaHei UI" w:eastAsia="Microsoft YaHei UI" w:cs="Microsoft YaHei UI"/>
          <w:color w:val="191919"/>
          <w:spacing w:val="3"/>
          <w:sz w:val="24"/>
          <w:shd w:val="clear" w:color="auto" w:fill="FFFFFF"/>
        </w:rPr>
        <w:t>“桂林山水甲天下、不如武夷一小丘”，初冬的武夷山，红叶渐次燃烧起来，红火而又热情。12月5日晴空万里，福州高新区美术中等职业学校教务处主任林炜老师携本校美术组13位教师，应中央美术学院造型学院、武夷学院之邀，前往武夷山武夷学院参观“风華正茂”—中央美术学院造型学院藏（1951-2017）百张素描作品展。</w:t>
      </w:r>
    </w:p>
    <w:p>
      <w:pPr>
        <w:pStyle w:val="6"/>
        <w:wordWrap w:val="0"/>
        <w:spacing w:line="336" w:lineRule="atLeast"/>
        <w:rPr>
          <w:spacing w:val="3"/>
        </w:rPr>
      </w:pPr>
    </w:p>
    <w:p>
      <w:pPr>
        <w:widowControl/>
        <w:shd w:val="clear" w:color="auto" w:fill="FFFFFF"/>
        <w:ind w:firstLine="480" w:firstLineChars="200"/>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2571750" cy="2514600"/>
            <wp:effectExtent l="0" t="0" r="6350" b="0"/>
            <wp:docPr id="13" name="图片 26" descr="1607478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1607478269(1)"/>
                    <pic:cNvPicPr>
                      <a:picLocks noChangeAspect="1"/>
                    </pic:cNvPicPr>
                  </pic:nvPicPr>
                  <pic:blipFill>
                    <a:blip r:embed="rId22"/>
                    <a:stretch>
                      <a:fillRect/>
                    </a:stretch>
                  </pic:blipFill>
                  <pic:spPr>
                    <a:xfrm>
                      <a:off x="0" y="0"/>
                      <a:ext cx="2571750" cy="2514600"/>
                    </a:xfrm>
                    <a:prstGeom prst="rect">
                      <a:avLst/>
                    </a:prstGeom>
                    <a:noFill/>
                    <a:ln>
                      <a:noFill/>
                    </a:ln>
                  </pic:spPr>
                </pic:pic>
              </a:graphicData>
            </a:graphic>
          </wp:inline>
        </w:drawing>
      </w:r>
      <w:r>
        <w:rPr>
          <w:rFonts w:hint="eastAsia" w:ascii="Microsoft YaHei UI" w:hAnsi="Microsoft YaHei UI" w:eastAsia="Microsoft YaHei UI" w:cs="Microsoft YaHei UI"/>
          <w:color w:val="000000"/>
          <w:kern w:val="0"/>
          <w:sz w:val="24"/>
          <w:shd w:val="clear" w:color="auto" w:fill="FFFFFF"/>
        </w:rPr>
        <w:t xml:space="preserve">    </w:t>
      </w: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2543175" cy="2476500"/>
            <wp:effectExtent l="0" t="0" r="9525" b="0"/>
            <wp:docPr id="1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7"/>
                    <pic:cNvPicPr>
                      <a:picLocks noChangeAspect="1"/>
                    </pic:cNvPicPr>
                  </pic:nvPicPr>
                  <pic:blipFill>
                    <a:blip r:embed="rId23"/>
                    <a:stretch>
                      <a:fillRect/>
                    </a:stretch>
                  </pic:blipFill>
                  <pic:spPr>
                    <a:xfrm>
                      <a:off x="0" y="0"/>
                      <a:ext cx="2543175" cy="2476500"/>
                    </a:xfrm>
                    <a:prstGeom prst="rect">
                      <a:avLst/>
                    </a:prstGeom>
                    <a:noFill/>
                    <a:ln>
                      <a:noFill/>
                    </a:ln>
                  </pic:spPr>
                </pic:pic>
              </a:graphicData>
            </a:graphic>
          </wp:inline>
        </w:drawing>
      </w:r>
    </w:p>
    <w:p>
      <w:pPr>
        <w:widowControl/>
        <w:shd w:val="clear" w:color="auto" w:fill="FFFFFF"/>
        <w:ind w:firstLine="1440" w:firstLineChars="600"/>
        <w:jc w:val="left"/>
        <w:rPr>
          <w:rFonts w:hint="eastAsia" w:ascii="Microsoft YaHei UI" w:hAnsi="Microsoft YaHei UI" w:eastAsia="Microsoft YaHei UI" w:cs="Microsoft YaHei UI"/>
          <w:color w:val="000000"/>
          <w:kern w:val="0"/>
          <w:sz w:val="24"/>
          <w:shd w:val="clear" w:color="auto" w:fill="FFFFFF"/>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3895725" cy="1952625"/>
            <wp:effectExtent l="0" t="0" r="3175" b="3175"/>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24"/>
                    <a:stretch>
                      <a:fillRect/>
                    </a:stretch>
                  </pic:blipFill>
                  <pic:spPr>
                    <a:xfrm>
                      <a:off x="0" y="0"/>
                      <a:ext cx="3895725" cy="1952625"/>
                    </a:xfrm>
                    <a:prstGeom prst="rect">
                      <a:avLst/>
                    </a:prstGeom>
                    <a:noFill/>
                    <a:ln>
                      <a:noFill/>
                    </a:ln>
                  </pic:spPr>
                </pic:pic>
              </a:graphicData>
            </a:graphic>
          </wp:inline>
        </w:drawing>
      </w:r>
    </w:p>
    <w:p>
      <w:pPr>
        <w:widowControl/>
        <w:shd w:val="clear" w:color="auto" w:fill="FFFFFF"/>
        <w:spacing w:line="400" w:lineRule="exact"/>
        <w:jc w:val="left"/>
        <w:rPr>
          <w:rFonts w:hint="eastAsia" w:ascii="Microsoft YaHei UI" w:hAnsi="Microsoft YaHei UI" w:eastAsia="Microsoft YaHei UI" w:cs="Microsoft YaHei UI"/>
          <w:b/>
          <w:color w:val="191919"/>
          <w:spacing w:val="3"/>
          <w:sz w:val="24"/>
          <w:shd w:val="clear" w:color="auto" w:fill="FFFFFF"/>
        </w:rPr>
      </w:pPr>
      <w:r>
        <w:rPr>
          <w:rFonts w:hint="eastAsia" w:ascii="Microsoft YaHei UI" w:hAnsi="Microsoft YaHei UI" w:eastAsia="Microsoft YaHei UI" w:cs="Microsoft YaHei UI"/>
          <w:b/>
          <w:color w:val="191919"/>
          <w:spacing w:val="3"/>
          <w:sz w:val="24"/>
          <w:shd w:val="clear" w:color="auto" w:fill="FFFFFF"/>
        </w:rPr>
        <w:t>案例分析：</w:t>
      </w:r>
    </w:p>
    <w:p>
      <w:pPr>
        <w:widowControl/>
        <w:shd w:val="clear" w:color="auto" w:fill="FFFFFF"/>
        <w:spacing w:line="400" w:lineRule="exact"/>
        <w:ind w:firstLine="492" w:firstLineChars="200"/>
        <w:jc w:val="left"/>
        <w:rPr>
          <w:spacing w:val="3"/>
          <w:sz w:val="24"/>
        </w:rPr>
      </w:pPr>
      <w:r>
        <w:rPr>
          <w:rFonts w:hint="eastAsia" w:ascii="Microsoft YaHei UI" w:hAnsi="Microsoft YaHei UI" w:eastAsia="Microsoft YaHei UI" w:cs="Microsoft YaHei UI"/>
          <w:color w:val="191919"/>
          <w:spacing w:val="3"/>
          <w:sz w:val="24"/>
          <w:shd w:val="clear" w:color="auto" w:fill="FFFFFF"/>
        </w:rPr>
        <w:t>祝贺“风華正茂”—中央美术学院造型学院藏（1951-2017）百张素描作品展在武夷学院艺术学院展出。武夷山位于福建西北部，那里峰峰有溪水环绕，水道随山峰弯曲回转。恰逢晴空万里，一睹武夷学院风采。</w:t>
      </w:r>
    </w:p>
    <w:p>
      <w:pPr>
        <w:pStyle w:val="6"/>
        <w:spacing w:line="400" w:lineRule="exact"/>
        <w:ind w:firstLine="246" w:firstLineChars="100"/>
        <w:rPr>
          <w:spacing w:val="3"/>
        </w:rPr>
      </w:pPr>
      <w:r>
        <w:rPr>
          <w:rFonts w:hint="eastAsia" w:ascii="Microsoft YaHei UI" w:hAnsi="Microsoft YaHei UI" w:eastAsia="Microsoft YaHei UI" w:cs="Microsoft YaHei UI"/>
          <w:color w:val="191919"/>
          <w:spacing w:val="3"/>
          <w:shd w:val="clear" w:color="auto" w:fill="FFFFFF"/>
        </w:rPr>
        <w:t>“风華正茂”素描作品展的展出又找回了素描在艺术创作和艺术教学中的地位。</w:t>
      </w:r>
    </w:p>
    <w:p>
      <w:pPr>
        <w:pStyle w:val="6"/>
        <w:spacing w:line="400" w:lineRule="exact"/>
        <w:ind w:firstLine="492" w:firstLineChars="200"/>
        <w:rPr>
          <w:rFonts w:hint="eastAsia" w:ascii="Microsoft YaHei UI" w:hAnsi="Microsoft YaHei UI" w:eastAsia="Microsoft YaHei UI" w:cs="Microsoft YaHei UI"/>
          <w:color w:val="191919"/>
          <w:spacing w:val="3"/>
          <w:shd w:val="clear" w:color="auto" w:fill="FFFFFF"/>
        </w:rPr>
      </w:pPr>
      <w:r>
        <w:rPr>
          <w:rFonts w:hint="eastAsia" w:ascii="Microsoft YaHei UI" w:hAnsi="Microsoft YaHei UI" w:eastAsia="Microsoft YaHei UI" w:cs="Microsoft YaHei UI"/>
          <w:color w:val="191919"/>
          <w:spacing w:val="3"/>
          <w:shd w:val="clear" w:color="auto" w:fill="FFFFFF"/>
        </w:rPr>
        <w:t>科技的迅猛发展导致了现实虚拟化，加剧了艺术创作更追求形式、新符号以及新概念。而忽视了做本质的造型能力，基本功能力。素描也可以有多种不同的表现方式，比如当下非常受欢迎的精微素描，它对于学生综合能力的要求特别高，对于造型、角度观察、光影把握、细节描绘等有要求首先要具备很强的素描能力作为基础。</w:t>
      </w:r>
    </w:p>
    <w:p>
      <w:pPr>
        <w:pStyle w:val="6"/>
        <w:spacing w:line="400" w:lineRule="exact"/>
        <w:ind w:firstLine="492" w:firstLineChars="200"/>
        <w:rPr>
          <w:spacing w:val="3"/>
        </w:rPr>
      </w:pPr>
    </w:p>
    <w:p>
      <w:pPr>
        <w:widowControl/>
        <w:shd w:val="clear" w:color="auto" w:fill="FFFFFF"/>
        <w:ind w:firstLine="420" w:firstLineChars="200"/>
        <w:jc w:val="center"/>
        <w:rPr>
          <w:rFonts w:hint="eastAsia" w:ascii="Microsoft YaHei UI" w:hAnsi="Microsoft YaHei UI" w:eastAsia="Microsoft YaHei UI" w:cs="Microsoft YaHei UI"/>
          <w:color w:val="000000"/>
          <w:sz w:val="24"/>
        </w:rPr>
        <w:sectPr>
          <w:footerReference r:id="rId7" w:type="default"/>
          <w:pgSz w:w="11906" w:h="16838"/>
          <w:pgMar w:top="1440" w:right="1080" w:bottom="1440" w:left="1080" w:header="851" w:footer="992" w:gutter="0"/>
          <w:pgNumType w:fmt="decimal" w:start="1"/>
          <w:cols w:space="720" w:num="1"/>
          <w:docGrid w:type="lines" w:linePitch="312" w:charSpace="0"/>
        </w:sectPr>
      </w:pPr>
      <w:r>
        <w:rPr>
          <w:rFonts w:hint="eastAsia"/>
          <w:kern w:val="0"/>
          <w:shd w:val="clear" w:color="auto" w:fill="FFFFFF"/>
        </w:rPr>
        <w:drawing>
          <wp:inline distT="0" distB="0" distL="114300" distR="114300">
            <wp:extent cx="2209800" cy="1838325"/>
            <wp:effectExtent l="0" t="0" r="0" b="3175"/>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25"/>
                    <a:stretch>
                      <a:fillRect/>
                    </a:stretch>
                  </pic:blipFill>
                  <pic:spPr>
                    <a:xfrm>
                      <a:off x="0" y="0"/>
                      <a:ext cx="2209800" cy="1838325"/>
                    </a:xfrm>
                    <a:prstGeom prst="rect">
                      <a:avLst/>
                    </a:prstGeom>
                    <a:noFill/>
                    <a:ln>
                      <a:noFill/>
                    </a:ln>
                  </pic:spPr>
                </pic:pic>
              </a:graphicData>
            </a:graphic>
          </wp:inline>
        </w:drawing>
      </w:r>
      <w:r>
        <w:rPr>
          <w:rFonts w:hint="eastAsia"/>
          <w:kern w:val="0"/>
          <w:shd w:val="clear" w:color="auto" w:fill="FFFFFF"/>
        </w:rPr>
        <w:t xml:space="preserve">    </w:t>
      </w:r>
      <w:r>
        <w:rPr>
          <w:rFonts w:hint="eastAsia"/>
          <w:kern w:val="0"/>
          <w:shd w:val="clear" w:color="auto" w:fill="FFFFFF"/>
        </w:rPr>
        <w:drawing>
          <wp:inline distT="0" distB="0" distL="114300" distR="114300">
            <wp:extent cx="2171700" cy="1838325"/>
            <wp:effectExtent l="0" t="0" r="0" b="3175"/>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26"/>
                    <a:stretch>
                      <a:fillRect/>
                    </a:stretch>
                  </pic:blipFill>
                  <pic:spPr>
                    <a:xfrm>
                      <a:off x="0" y="0"/>
                      <a:ext cx="2171700" cy="1838325"/>
                    </a:xfrm>
                    <a:prstGeom prst="rect">
                      <a:avLst/>
                    </a:prstGeom>
                    <a:noFill/>
                    <a:ln>
                      <a:noFill/>
                    </a:ln>
                  </pic:spPr>
                </pic:pic>
              </a:graphicData>
            </a:graphic>
          </wp:inline>
        </w:drawing>
      </w:r>
    </w:p>
    <w:p>
      <w:pPr>
        <w:pStyle w:val="6"/>
        <w:wordWrap w:val="0"/>
        <w:spacing w:line="336" w:lineRule="atLeast"/>
        <w:rPr>
          <w:rFonts w:hint="eastAsia"/>
          <w:spacing w:val="3"/>
        </w:rPr>
        <w:sectPr>
          <w:type w:val="continuous"/>
          <w:pgSz w:w="11906" w:h="16838"/>
          <w:pgMar w:top="1440" w:right="1080" w:bottom="1440" w:left="1080" w:header="851" w:footer="992" w:gutter="0"/>
          <w:pgNumType w:fmt="decimal"/>
          <w:cols w:space="720" w:num="1"/>
          <w:docGrid w:type="lines" w:linePitch="312" w:charSpace="0"/>
        </w:sectPr>
      </w:pPr>
    </w:p>
    <w:p>
      <w:pPr>
        <w:widowControl/>
        <w:shd w:val="clear" w:color="auto" w:fill="FFFFFF"/>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t xml:space="preserve">             </w:t>
      </w: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1762125" cy="1695450"/>
            <wp:effectExtent l="0" t="0" r="3175" b="6350"/>
            <wp:docPr id="1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63"/>
                    <pic:cNvPicPr>
                      <a:picLocks noChangeAspect="1"/>
                    </pic:cNvPicPr>
                  </pic:nvPicPr>
                  <pic:blipFill>
                    <a:blip r:embed="rId27"/>
                    <a:stretch>
                      <a:fillRect/>
                    </a:stretch>
                  </pic:blipFill>
                  <pic:spPr>
                    <a:xfrm>
                      <a:off x="0" y="0"/>
                      <a:ext cx="1762125" cy="1695450"/>
                    </a:xfrm>
                    <a:prstGeom prst="rect">
                      <a:avLst/>
                    </a:prstGeom>
                    <a:noFill/>
                    <a:ln>
                      <a:noFill/>
                    </a:ln>
                  </pic:spPr>
                </pic:pic>
              </a:graphicData>
            </a:graphic>
          </wp:inline>
        </w:drawing>
      </w:r>
    </w:p>
    <w:p>
      <w:pPr>
        <w:pStyle w:val="6"/>
        <w:wordWrap w:val="0"/>
        <w:spacing w:line="336" w:lineRule="atLeast"/>
        <w:ind w:firstLine="1476" w:firstLineChars="600"/>
        <w:rPr>
          <w:spacing w:val="3"/>
        </w:rPr>
      </w:pPr>
      <w:r>
        <w:rPr>
          <w:rFonts w:hint="eastAsia" w:ascii="Microsoft YaHei UI" w:hAnsi="Microsoft YaHei UI" w:eastAsia="Microsoft YaHei UI" w:cs="Microsoft YaHei UI"/>
          <w:color w:val="191919"/>
          <w:spacing w:val="3"/>
          <w:shd w:val="clear" w:color="auto" w:fill="FFFFFF"/>
        </w:rPr>
        <w:t xml:space="preserve">     孙璐1991年作</w:t>
      </w:r>
    </w:p>
    <w:p>
      <w:pPr>
        <w:widowControl/>
        <w:shd w:val="clear" w:color="auto" w:fill="FFFFFF"/>
        <w:jc w:val="left"/>
        <w:rPr>
          <w:rFonts w:hint="eastAsia" w:ascii="Microsoft YaHei UI" w:hAnsi="Microsoft YaHei UI" w:eastAsia="Microsoft YaHei UI" w:cs="Microsoft YaHei UI"/>
          <w:color w:val="000000"/>
          <w:kern w:val="0"/>
          <w:sz w:val="24"/>
          <w:shd w:val="clear" w:color="auto" w:fill="FFFFFF"/>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2038350" cy="1666875"/>
            <wp:effectExtent l="0" t="0" r="6350" b="9525"/>
            <wp:docPr id="1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64"/>
                    <pic:cNvPicPr>
                      <a:picLocks noChangeAspect="1"/>
                    </pic:cNvPicPr>
                  </pic:nvPicPr>
                  <pic:blipFill>
                    <a:blip r:embed="rId28"/>
                    <a:stretch>
                      <a:fillRect/>
                    </a:stretch>
                  </pic:blipFill>
                  <pic:spPr>
                    <a:xfrm>
                      <a:off x="0" y="0"/>
                      <a:ext cx="2038350" cy="1666875"/>
                    </a:xfrm>
                    <a:prstGeom prst="rect">
                      <a:avLst/>
                    </a:prstGeom>
                    <a:noFill/>
                    <a:ln>
                      <a:noFill/>
                    </a:ln>
                  </pic:spPr>
                </pic:pic>
              </a:graphicData>
            </a:graphic>
          </wp:inline>
        </w:drawing>
      </w:r>
    </w:p>
    <w:p>
      <w:pPr>
        <w:widowControl/>
        <w:shd w:val="clear" w:color="auto" w:fill="FFFFFF"/>
        <w:ind w:firstLine="432" w:firstLineChars="200"/>
        <w:jc w:val="left"/>
        <w:rPr>
          <w:rFonts w:hint="eastAsia" w:ascii="Microsoft YaHei UI" w:hAnsi="Microsoft YaHei UI" w:eastAsia="Microsoft YaHei UI" w:cs="Microsoft YaHei UI"/>
          <w:color w:val="000000"/>
          <w:sz w:val="24"/>
        </w:rPr>
        <w:sectPr>
          <w:type w:val="continuous"/>
          <w:pgSz w:w="11906" w:h="16838"/>
          <w:pgMar w:top="1440" w:right="1080" w:bottom="1440" w:left="1080" w:header="851" w:footer="992" w:gutter="0"/>
          <w:pgNumType w:fmt="decimal"/>
          <w:cols w:equalWidth="0" w:num="2">
            <w:col w:w="4660" w:space="425"/>
            <w:col w:w="4660"/>
          </w:cols>
          <w:docGrid w:type="lines" w:linePitch="312" w:charSpace="0"/>
        </w:sectPr>
      </w:pPr>
      <w:r>
        <w:rPr>
          <w:rFonts w:hint="eastAsia" w:ascii="Microsoft YaHei UI" w:hAnsi="Microsoft YaHei UI" w:eastAsia="Microsoft YaHei UI" w:cs="Microsoft YaHei UI"/>
          <w:color w:val="191919"/>
          <w:spacing w:val="3"/>
          <w:shd w:val="clear" w:color="auto" w:fill="FFFFFF"/>
        </w:rPr>
        <w:t>林延</w:t>
      </w:r>
    </w:p>
    <w:p>
      <w:pPr>
        <w:widowControl/>
        <w:shd w:val="clear" w:color="auto" w:fill="FFFFFF"/>
        <w:ind w:firstLine="960" w:firstLineChars="400"/>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1809750" cy="1752600"/>
            <wp:effectExtent l="0" t="0" r="6350" b="0"/>
            <wp:docPr id="2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65"/>
                    <pic:cNvPicPr>
                      <a:picLocks noChangeAspect="1"/>
                    </pic:cNvPicPr>
                  </pic:nvPicPr>
                  <pic:blipFill>
                    <a:blip r:embed="rId29"/>
                    <a:stretch>
                      <a:fillRect/>
                    </a:stretch>
                  </pic:blipFill>
                  <pic:spPr>
                    <a:xfrm>
                      <a:off x="0" y="0"/>
                      <a:ext cx="1809750" cy="1752600"/>
                    </a:xfrm>
                    <a:prstGeom prst="rect">
                      <a:avLst/>
                    </a:prstGeom>
                    <a:noFill/>
                    <a:ln>
                      <a:noFill/>
                    </a:ln>
                  </pic:spPr>
                </pic:pic>
              </a:graphicData>
            </a:graphic>
          </wp:inline>
        </w:drawing>
      </w:r>
    </w:p>
    <w:p>
      <w:pPr>
        <w:widowControl/>
        <w:shd w:val="clear" w:color="auto" w:fill="FFFFFF"/>
        <w:ind w:firstLine="1512" w:firstLineChars="700"/>
        <w:jc w:val="left"/>
        <w:rPr>
          <w:rFonts w:ascii="Microsoft YaHei UI" w:hAnsi="Microsoft YaHei UI" w:eastAsia="Microsoft YaHei UI" w:cs="Microsoft YaHei UI"/>
          <w:color w:val="000000"/>
          <w:kern w:val="0"/>
          <w:sz w:val="24"/>
          <w:shd w:val="clear" w:color="auto" w:fill="FFFFFF"/>
        </w:rPr>
      </w:pPr>
      <w:r>
        <w:rPr>
          <w:rFonts w:hint="eastAsia" w:ascii="Microsoft YaHei UI" w:hAnsi="Microsoft YaHei UI" w:eastAsia="Microsoft YaHei UI" w:cs="Microsoft YaHei UI"/>
          <w:color w:val="191919"/>
          <w:spacing w:val="3"/>
          <w:shd w:val="clear" w:color="auto" w:fill="FFFFFF"/>
        </w:rPr>
        <w:t>《女孩像》勒尚谊1953年作铅笔</w:t>
      </w:r>
    </w:p>
    <w:p>
      <w:pPr>
        <w:widowControl/>
        <w:shd w:val="clear" w:color="auto" w:fill="FFFFFF"/>
        <w:jc w:val="left"/>
        <w:rPr>
          <w:rFonts w:hint="eastAsia" w:ascii="Microsoft YaHei UI" w:hAnsi="Microsoft YaHei UI" w:eastAsia="Microsoft YaHei UI" w:cs="Microsoft YaHei UI"/>
          <w:color w:val="191919"/>
          <w:spacing w:val="3"/>
          <w:sz w:val="24"/>
          <w:shd w:val="clear" w:color="auto" w:fill="FFFFFF"/>
        </w:rPr>
        <w:sectPr>
          <w:type w:val="continuous"/>
          <w:pgSz w:w="11906" w:h="16838"/>
          <w:pgMar w:top="1440" w:right="1080" w:bottom="1440" w:left="1080" w:header="851" w:footer="992" w:gutter="0"/>
          <w:pgNumType w:fmt="decimal"/>
          <w:cols w:equalWidth="0" w:num="2">
            <w:col w:w="4660" w:space="425"/>
            <w:col w:w="4660"/>
          </w:cols>
          <w:docGrid w:type="lines" w:linePitch="312" w:charSpace="0"/>
        </w:sect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2009775" cy="1781175"/>
            <wp:effectExtent l="0" t="0" r="9525" b="9525"/>
            <wp:docPr id="2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66"/>
                    <pic:cNvPicPr>
                      <a:picLocks noChangeAspect="1"/>
                    </pic:cNvPicPr>
                  </pic:nvPicPr>
                  <pic:blipFill>
                    <a:blip r:embed="rId30"/>
                    <a:stretch>
                      <a:fillRect/>
                    </a:stretch>
                  </pic:blipFill>
                  <pic:spPr>
                    <a:xfrm>
                      <a:off x="0" y="0"/>
                      <a:ext cx="2009775" cy="1781175"/>
                    </a:xfrm>
                    <a:prstGeom prst="rect">
                      <a:avLst/>
                    </a:prstGeom>
                    <a:noFill/>
                    <a:ln>
                      <a:noFill/>
                    </a:ln>
                  </pic:spPr>
                </pic:pic>
              </a:graphicData>
            </a:graphic>
          </wp:inline>
        </w:drawing>
      </w:r>
    </w:p>
    <w:p>
      <w:pPr>
        <w:widowControl/>
        <w:shd w:val="clear" w:color="auto" w:fill="FFFFFF"/>
        <w:jc w:val="left"/>
        <w:rPr>
          <w:rFonts w:hint="eastAsia" w:ascii="Microsoft YaHei UI" w:hAnsi="Microsoft YaHei UI" w:eastAsia="Microsoft YaHei UI" w:cs="Microsoft YaHei UI"/>
          <w:color w:val="191919"/>
          <w:spacing w:val="3"/>
          <w:kern w:val="0"/>
          <w:sz w:val="24"/>
          <w:shd w:val="clear" w:color="auto" w:fill="FFFFFF"/>
        </w:rPr>
      </w:pPr>
      <w:r>
        <w:rPr>
          <w:rFonts w:hint="eastAsia" w:ascii="Microsoft YaHei UI" w:hAnsi="Microsoft YaHei UI" w:eastAsia="Microsoft YaHei UI" w:cs="Microsoft YaHei UI"/>
          <w:color w:val="191919"/>
          <w:spacing w:val="3"/>
          <w:kern w:val="0"/>
          <w:sz w:val="24"/>
          <w:shd w:val="clear" w:color="auto" w:fill="FFFFFF"/>
        </w:rPr>
        <w:t xml:space="preserve">      </w:t>
      </w:r>
    </w:p>
    <w:p>
      <w:pPr>
        <w:widowControl/>
        <w:shd w:val="clear" w:color="auto" w:fill="FFFFFF"/>
        <w:jc w:val="left"/>
        <w:rPr>
          <w:rFonts w:hint="eastAsia" w:ascii="Microsoft YaHei UI" w:hAnsi="Microsoft YaHei UI" w:eastAsia="Microsoft YaHei UI" w:cs="Microsoft YaHei UI"/>
          <w:color w:val="191919"/>
          <w:spacing w:val="3"/>
          <w:kern w:val="0"/>
          <w:sz w:val="24"/>
          <w:shd w:val="clear" w:color="auto" w:fill="FFFFFF"/>
        </w:rPr>
      </w:pPr>
    </w:p>
    <w:p>
      <w:pPr>
        <w:widowControl/>
        <w:shd w:val="clear" w:color="auto" w:fill="FFFFFF"/>
        <w:jc w:val="left"/>
        <w:rPr>
          <w:rFonts w:hint="eastAsia" w:ascii="Microsoft YaHei UI" w:hAnsi="Microsoft YaHei UI" w:eastAsia="Microsoft YaHei UI" w:cs="Microsoft YaHei UI"/>
          <w:color w:val="191919"/>
          <w:spacing w:val="3"/>
          <w:kern w:val="0"/>
          <w:sz w:val="24"/>
          <w:shd w:val="clear" w:color="auto" w:fill="FFFFFF"/>
        </w:rPr>
      </w:pPr>
    </w:p>
    <w:p>
      <w:pPr>
        <w:widowControl/>
        <w:shd w:val="clear" w:color="auto" w:fill="FFFFFF"/>
        <w:jc w:val="left"/>
        <w:rPr>
          <w:rFonts w:hint="eastAsia" w:ascii="Microsoft YaHei UI" w:hAnsi="Microsoft YaHei UI" w:eastAsia="Microsoft YaHei UI" w:cs="Microsoft YaHei UI"/>
          <w:color w:val="191919"/>
          <w:spacing w:val="3"/>
          <w:kern w:val="0"/>
          <w:sz w:val="24"/>
          <w:shd w:val="clear" w:color="auto" w:fill="FFFFFF"/>
        </w:rPr>
      </w:pPr>
    </w:p>
    <w:p>
      <w:pPr>
        <w:widowControl/>
        <w:shd w:val="clear" w:color="auto" w:fill="FFFFFF"/>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191919"/>
          <w:spacing w:val="3"/>
          <w:kern w:val="0"/>
          <w:sz w:val="24"/>
          <w:shd w:val="clear" w:color="auto" w:fill="FFFFFF"/>
        </w:rPr>
        <w:t xml:space="preserve"> </w:t>
      </w: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1866900" cy="1828800"/>
            <wp:effectExtent l="0" t="0" r="0" b="0"/>
            <wp:docPr id="2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67"/>
                    <pic:cNvPicPr>
                      <a:picLocks noChangeAspect="1"/>
                    </pic:cNvPicPr>
                  </pic:nvPicPr>
                  <pic:blipFill>
                    <a:blip r:embed="rId31"/>
                    <a:stretch>
                      <a:fillRect/>
                    </a:stretch>
                  </pic:blipFill>
                  <pic:spPr>
                    <a:xfrm flipH="1">
                      <a:off x="0" y="0"/>
                      <a:ext cx="1866900" cy="1828800"/>
                    </a:xfrm>
                    <a:prstGeom prst="rect">
                      <a:avLst/>
                    </a:prstGeom>
                    <a:noFill/>
                    <a:ln>
                      <a:noFill/>
                    </a:ln>
                  </pic:spPr>
                </pic:pic>
              </a:graphicData>
            </a:graphic>
          </wp:inline>
        </w:drawing>
      </w:r>
    </w:p>
    <w:p>
      <w:pPr>
        <w:pStyle w:val="6"/>
        <w:wordWrap w:val="0"/>
        <w:spacing w:line="336" w:lineRule="atLeast"/>
        <w:ind w:firstLine="984" w:firstLineChars="400"/>
        <w:rPr>
          <w:rFonts w:hint="eastAsia" w:ascii="Microsoft YaHei UI" w:hAnsi="Microsoft YaHei UI" w:eastAsia="Microsoft YaHei UI" w:cs="Microsoft YaHei UI"/>
          <w:color w:val="191919"/>
          <w:spacing w:val="3"/>
          <w:shd w:val="clear" w:color="auto" w:fill="FFFFFF"/>
        </w:rPr>
      </w:pPr>
      <w:r>
        <w:rPr>
          <w:rFonts w:hint="eastAsia" w:ascii="Microsoft YaHei UI" w:hAnsi="Microsoft YaHei UI" w:eastAsia="Microsoft YaHei UI" w:cs="Microsoft YaHei UI"/>
          <w:color w:val="191919"/>
          <w:spacing w:val="3"/>
          <w:shd w:val="clear" w:color="auto" w:fill="FFFFFF"/>
        </w:rPr>
        <w:t>王沂东1980年作</w:t>
      </w:r>
    </w:p>
    <w:p>
      <w:pPr>
        <w:pStyle w:val="6"/>
        <w:wordWrap w:val="0"/>
        <w:spacing w:line="336" w:lineRule="atLeast"/>
        <w:rPr>
          <w:spacing w:val="3"/>
        </w:rPr>
      </w:pPr>
    </w:p>
    <w:p>
      <w:pPr>
        <w:widowControl/>
        <w:shd w:val="clear" w:color="auto" w:fill="FFFFFF"/>
        <w:jc w:val="center"/>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1952625" cy="1876425"/>
            <wp:effectExtent l="0" t="0" r="3175" b="3175"/>
            <wp:docPr id="2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IMG_268"/>
                    <pic:cNvPicPr>
                      <a:picLocks noChangeAspect="1"/>
                    </pic:cNvPicPr>
                  </pic:nvPicPr>
                  <pic:blipFill>
                    <a:blip r:embed="rId32"/>
                    <a:stretch>
                      <a:fillRect/>
                    </a:stretch>
                  </pic:blipFill>
                  <pic:spPr>
                    <a:xfrm>
                      <a:off x="0" y="0"/>
                      <a:ext cx="1952625" cy="1876425"/>
                    </a:xfrm>
                    <a:prstGeom prst="rect">
                      <a:avLst/>
                    </a:prstGeom>
                    <a:noFill/>
                    <a:ln>
                      <a:noFill/>
                    </a:ln>
                  </pic:spPr>
                </pic:pic>
              </a:graphicData>
            </a:graphic>
          </wp:inline>
        </w:drawing>
      </w:r>
    </w:p>
    <w:p>
      <w:pPr>
        <w:pStyle w:val="6"/>
        <w:wordWrap w:val="0"/>
        <w:spacing w:line="336" w:lineRule="atLeast"/>
        <w:ind w:firstLine="1107" w:firstLineChars="450"/>
        <w:rPr>
          <w:rFonts w:hint="eastAsia" w:ascii="Microsoft YaHei UI" w:hAnsi="Microsoft YaHei UI" w:eastAsia="Microsoft YaHei UI" w:cs="Microsoft YaHei UI"/>
          <w:color w:val="191919"/>
          <w:spacing w:val="3"/>
          <w:shd w:val="clear" w:color="auto" w:fill="FFFFFF"/>
        </w:rPr>
        <w:sectPr>
          <w:type w:val="continuous"/>
          <w:pgSz w:w="11906" w:h="16838"/>
          <w:pgMar w:top="1440" w:right="1080" w:bottom="1440" w:left="1080" w:header="851" w:footer="992" w:gutter="0"/>
          <w:pgNumType w:fmt="decimal"/>
          <w:cols w:equalWidth="0" w:num="2">
            <w:col w:w="4660" w:space="425"/>
            <w:col w:w="4660"/>
          </w:cols>
          <w:docGrid w:type="lines" w:linePitch="312" w:charSpace="0"/>
        </w:sectPr>
      </w:pPr>
      <w:r>
        <w:rPr>
          <w:rFonts w:hint="eastAsia" w:ascii="Microsoft YaHei UI" w:hAnsi="Microsoft YaHei UI" w:eastAsia="Microsoft YaHei UI" w:cs="Microsoft YaHei UI"/>
          <w:color w:val="191919"/>
          <w:spacing w:val="3"/>
          <w:shd w:val="clear" w:color="auto" w:fill="FFFFFF"/>
        </w:rPr>
        <w:t>王沂东1980年</w:t>
      </w:r>
    </w:p>
    <w:p>
      <w:pPr>
        <w:widowControl/>
        <w:shd w:val="clear" w:color="auto" w:fill="FFFFFF"/>
        <w:ind w:firstLine="480" w:firstLineChars="200"/>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t xml:space="preserve">   </w:t>
      </w: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1866900" cy="1638300"/>
            <wp:effectExtent l="0" t="0" r="0" b="0"/>
            <wp:docPr id="2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IMG_269"/>
                    <pic:cNvPicPr>
                      <a:picLocks noChangeAspect="1"/>
                    </pic:cNvPicPr>
                  </pic:nvPicPr>
                  <pic:blipFill>
                    <a:blip r:embed="rId33"/>
                    <a:stretch>
                      <a:fillRect/>
                    </a:stretch>
                  </pic:blipFill>
                  <pic:spPr>
                    <a:xfrm>
                      <a:off x="0" y="0"/>
                      <a:ext cx="1866900" cy="1638300"/>
                    </a:xfrm>
                    <a:prstGeom prst="rect">
                      <a:avLst/>
                    </a:prstGeom>
                    <a:noFill/>
                    <a:ln>
                      <a:noFill/>
                    </a:ln>
                  </pic:spPr>
                </pic:pic>
              </a:graphicData>
            </a:graphic>
          </wp:inline>
        </w:drawing>
      </w:r>
    </w:p>
    <w:p>
      <w:pPr>
        <w:pStyle w:val="6"/>
        <w:wordWrap w:val="0"/>
        <w:spacing w:line="336" w:lineRule="atLeast"/>
        <w:rPr>
          <w:spacing w:val="3"/>
        </w:rPr>
      </w:pPr>
      <w:r>
        <w:rPr>
          <w:rFonts w:hint="eastAsia" w:ascii="Microsoft YaHei UI" w:hAnsi="Microsoft YaHei UI" w:eastAsia="Microsoft YaHei UI" w:cs="Microsoft YaHei UI"/>
          <w:color w:val="191919"/>
          <w:spacing w:val="3"/>
          <w:shd w:val="clear" w:color="auto" w:fill="FFFFFF"/>
        </w:rPr>
        <w:t xml:space="preserve">         《男人体》王沂东1980</w:t>
      </w:r>
    </w:p>
    <w:p>
      <w:pPr>
        <w:widowControl/>
        <w:shd w:val="clear" w:color="auto" w:fill="FFFFFF"/>
        <w:jc w:val="center"/>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1952625" cy="1685925"/>
            <wp:effectExtent l="0" t="0" r="3175" b="3175"/>
            <wp:docPr id="2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70"/>
                    <pic:cNvPicPr>
                      <a:picLocks noChangeAspect="1"/>
                    </pic:cNvPicPr>
                  </pic:nvPicPr>
                  <pic:blipFill>
                    <a:blip r:embed="rId34"/>
                    <a:stretch>
                      <a:fillRect/>
                    </a:stretch>
                  </pic:blipFill>
                  <pic:spPr>
                    <a:xfrm>
                      <a:off x="0" y="0"/>
                      <a:ext cx="1952625" cy="1685925"/>
                    </a:xfrm>
                    <a:prstGeom prst="rect">
                      <a:avLst/>
                    </a:prstGeom>
                    <a:noFill/>
                    <a:ln>
                      <a:noFill/>
                    </a:ln>
                  </pic:spPr>
                </pic:pic>
              </a:graphicData>
            </a:graphic>
          </wp:inline>
        </w:drawing>
      </w:r>
    </w:p>
    <w:p>
      <w:pPr>
        <w:pStyle w:val="6"/>
        <w:wordWrap w:val="0"/>
        <w:spacing w:line="336" w:lineRule="atLeast"/>
        <w:rPr>
          <w:rFonts w:hint="eastAsia" w:ascii="Microsoft YaHei UI" w:hAnsi="Microsoft YaHei UI" w:eastAsia="Microsoft YaHei UI" w:cs="Microsoft YaHei UI"/>
          <w:color w:val="191919"/>
          <w:spacing w:val="3"/>
          <w:shd w:val="clear" w:color="auto" w:fill="FFFFFF"/>
        </w:rPr>
        <w:sectPr>
          <w:type w:val="continuous"/>
          <w:pgSz w:w="11906" w:h="16838"/>
          <w:pgMar w:top="1440" w:right="1080" w:bottom="1440" w:left="1080" w:header="851" w:footer="992" w:gutter="0"/>
          <w:pgNumType w:fmt="decimal"/>
          <w:cols w:equalWidth="0" w:num="2">
            <w:col w:w="4660" w:space="425"/>
            <w:col w:w="4660"/>
          </w:cols>
          <w:docGrid w:type="lines" w:linePitch="312" w:charSpace="0"/>
        </w:sectPr>
      </w:pPr>
      <w:r>
        <w:rPr>
          <w:rFonts w:hint="eastAsia" w:ascii="Microsoft YaHei UI" w:hAnsi="Microsoft YaHei UI" w:eastAsia="Microsoft YaHei UI" w:cs="Microsoft YaHei UI"/>
          <w:color w:val="191919"/>
          <w:spacing w:val="3"/>
          <w:shd w:val="clear" w:color="auto" w:fill="FFFFFF"/>
        </w:rPr>
        <w:t xml:space="preserve">         《女孩像》曹力1978</w:t>
      </w:r>
    </w:p>
    <w:p>
      <w:pPr>
        <w:widowControl/>
        <w:shd w:val="clear" w:color="auto" w:fill="FFFFFF"/>
        <w:jc w:val="left"/>
        <w:rPr>
          <w:rFonts w:hint="eastAsia" w:ascii="Microsoft YaHei UI" w:hAnsi="Microsoft YaHei UI" w:eastAsia="Microsoft YaHei UI" w:cs="Microsoft YaHei UI"/>
          <w:color w:val="000000"/>
          <w:kern w:val="0"/>
          <w:sz w:val="24"/>
          <w:shd w:val="clear" w:color="auto" w:fill="FFFFFF"/>
        </w:rPr>
      </w:pPr>
      <w:r>
        <w:rPr>
          <w:rFonts w:hint="eastAsia" w:ascii="Microsoft YaHei UI" w:hAnsi="Microsoft YaHei UI" w:eastAsia="Microsoft YaHei UI" w:cs="Microsoft YaHei UI"/>
          <w:color w:val="000000"/>
          <w:kern w:val="0"/>
          <w:sz w:val="24"/>
          <w:shd w:val="clear" w:color="auto" w:fill="FFFFFF"/>
        </w:rPr>
        <w:t xml:space="preserve">               </w:t>
      </w: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3409950" cy="1752600"/>
            <wp:effectExtent l="0" t="0" r="6350" b="0"/>
            <wp:docPr id="2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descr="IMG_271"/>
                    <pic:cNvPicPr>
                      <a:picLocks noChangeAspect="1"/>
                    </pic:cNvPicPr>
                  </pic:nvPicPr>
                  <pic:blipFill>
                    <a:blip r:embed="rId35"/>
                    <a:stretch>
                      <a:fillRect/>
                    </a:stretch>
                  </pic:blipFill>
                  <pic:spPr>
                    <a:xfrm>
                      <a:off x="0" y="0"/>
                      <a:ext cx="3409950" cy="1752600"/>
                    </a:xfrm>
                    <a:prstGeom prst="rect">
                      <a:avLst/>
                    </a:prstGeom>
                    <a:noFill/>
                    <a:ln>
                      <a:noFill/>
                    </a:ln>
                  </pic:spPr>
                </pic:pic>
              </a:graphicData>
            </a:graphic>
          </wp:inline>
        </w:drawing>
      </w:r>
    </w:p>
    <w:p>
      <w:pPr>
        <w:widowControl/>
        <w:shd w:val="clear" w:color="auto" w:fill="FFFFFF"/>
        <w:jc w:val="left"/>
        <w:rPr>
          <w:rFonts w:hint="eastAsia" w:ascii="Microsoft YaHei UI" w:hAnsi="Microsoft YaHei UI" w:eastAsia="Microsoft YaHei UI" w:cs="Microsoft YaHei UI"/>
          <w:color w:val="000000"/>
          <w:sz w:val="24"/>
        </w:rPr>
      </w:pPr>
    </w:p>
    <w:p>
      <w:pPr>
        <w:widowControl/>
        <w:shd w:val="clear" w:color="auto" w:fill="FFFFFF"/>
        <w:ind w:firstLine="600" w:firstLineChars="250"/>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2066925" cy="1581150"/>
            <wp:effectExtent l="0" t="0" r="3175" b="6350"/>
            <wp:docPr id="2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descr="IMG_272"/>
                    <pic:cNvPicPr>
                      <a:picLocks noChangeAspect="1"/>
                    </pic:cNvPicPr>
                  </pic:nvPicPr>
                  <pic:blipFill>
                    <a:blip r:embed="rId36"/>
                    <a:stretch>
                      <a:fillRect/>
                    </a:stretch>
                  </pic:blipFill>
                  <pic:spPr>
                    <a:xfrm>
                      <a:off x="0" y="0"/>
                      <a:ext cx="2066925" cy="1581150"/>
                    </a:xfrm>
                    <a:prstGeom prst="rect">
                      <a:avLst/>
                    </a:prstGeom>
                    <a:noFill/>
                    <a:ln>
                      <a:noFill/>
                    </a:ln>
                  </pic:spPr>
                </pic:pic>
              </a:graphicData>
            </a:graphic>
          </wp:inline>
        </w:drawing>
      </w:r>
      <w:r>
        <w:rPr>
          <w:rFonts w:hint="eastAsia" w:ascii="Microsoft YaHei UI" w:hAnsi="Microsoft YaHei UI" w:eastAsia="Microsoft YaHei UI" w:cs="Microsoft YaHei UI"/>
          <w:color w:val="000000"/>
          <w:kern w:val="0"/>
          <w:sz w:val="24"/>
          <w:shd w:val="clear" w:color="auto" w:fill="FFFFFF"/>
        </w:rPr>
        <w:t xml:space="preserve">       </w:t>
      </w: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2209800" cy="1581150"/>
            <wp:effectExtent l="0" t="0" r="0" b="6350"/>
            <wp:docPr id="2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IMG_273"/>
                    <pic:cNvPicPr>
                      <a:picLocks noChangeAspect="1"/>
                    </pic:cNvPicPr>
                  </pic:nvPicPr>
                  <pic:blipFill>
                    <a:blip r:embed="rId37"/>
                    <a:stretch>
                      <a:fillRect/>
                    </a:stretch>
                  </pic:blipFill>
                  <pic:spPr>
                    <a:xfrm>
                      <a:off x="0" y="0"/>
                      <a:ext cx="2209800" cy="1581150"/>
                    </a:xfrm>
                    <a:prstGeom prst="rect">
                      <a:avLst/>
                    </a:prstGeom>
                    <a:noFill/>
                    <a:ln>
                      <a:noFill/>
                    </a:ln>
                  </pic:spPr>
                </pic:pic>
              </a:graphicData>
            </a:graphic>
          </wp:inline>
        </w:drawing>
      </w:r>
    </w:p>
    <w:p>
      <w:pPr>
        <w:pStyle w:val="6"/>
        <w:spacing w:line="336" w:lineRule="atLeast"/>
        <w:jc w:val="center"/>
        <w:rPr>
          <w:rFonts w:hint="eastAsia"/>
          <w:shd w:val="clear" w:color="auto" w:fill="FFFFFF"/>
        </w:rPr>
      </w:pPr>
      <w:r>
        <w:rPr>
          <w:rFonts w:hint="eastAsia"/>
          <w:shd w:val="clear" w:color="auto" w:fill="FFFFFF"/>
        </w:rPr>
        <w:t>我校教师参观素描作品展</w:t>
      </w:r>
    </w:p>
    <w:p>
      <w:pPr>
        <w:widowControl/>
        <w:shd w:val="clear" w:color="auto" w:fill="FFFFFF"/>
        <w:ind w:firstLine="2280" w:firstLineChars="950"/>
        <w:jc w:val="left"/>
        <w:rPr>
          <w:rFonts w:hint="eastAsia" w:ascii="Microsoft YaHei UI" w:hAnsi="Microsoft YaHei UI" w:eastAsia="Microsoft YaHei UI" w:cs="Microsoft YaHei UI"/>
          <w:color w:val="000000"/>
          <w:kern w:val="0"/>
          <w:sz w:val="24"/>
          <w:shd w:val="clear" w:color="auto" w:fill="FFFFFF"/>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3076575" cy="1828800"/>
            <wp:effectExtent l="0" t="0" r="9525" b="0"/>
            <wp:docPr id="2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descr="IMG_274"/>
                    <pic:cNvPicPr>
                      <a:picLocks noChangeAspect="1"/>
                    </pic:cNvPicPr>
                  </pic:nvPicPr>
                  <pic:blipFill>
                    <a:blip r:embed="rId38"/>
                    <a:stretch>
                      <a:fillRect/>
                    </a:stretch>
                  </pic:blipFill>
                  <pic:spPr>
                    <a:xfrm>
                      <a:off x="0" y="0"/>
                      <a:ext cx="3076575" cy="1828800"/>
                    </a:xfrm>
                    <a:prstGeom prst="rect">
                      <a:avLst/>
                    </a:prstGeom>
                    <a:noFill/>
                    <a:ln>
                      <a:noFill/>
                    </a:ln>
                  </pic:spPr>
                </pic:pic>
              </a:graphicData>
            </a:graphic>
          </wp:inline>
        </w:drawing>
      </w:r>
    </w:p>
    <w:p>
      <w:pPr>
        <w:widowControl/>
        <w:shd w:val="clear" w:color="auto" w:fill="FFFFFF"/>
        <w:ind w:firstLine="2829" w:firstLineChars="1150"/>
        <w:jc w:val="left"/>
        <w:rPr>
          <w:rFonts w:hint="eastAsia" w:ascii="Microsoft YaHei UI" w:hAnsi="Microsoft YaHei UI" w:eastAsia="Microsoft YaHei UI" w:cs="Microsoft YaHei UI"/>
          <w:color w:val="000000"/>
          <w:kern w:val="0"/>
          <w:sz w:val="24"/>
          <w:shd w:val="clear" w:color="auto" w:fill="FFFFFF"/>
        </w:rPr>
      </w:pPr>
      <w:r>
        <w:rPr>
          <w:rFonts w:hint="eastAsia" w:ascii="Microsoft YaHei UI" w:hAnsi="Microsoft YaHei UI" w:eastAsia="Microsoft YaHei UI" w:cs="Microsoft YaHei UI"/>
          <w:color w:val="191919"/>
          <w:spacing w:val="3"/>
          <w:sz w:val="24"/>
          <w:shd w:val="clear" w:color="auto" w:fill="FFFFFF"/>
        </w:rPr>
        <w:t>参观武夷学院周纳老师岩彩工作室</w:t>
      </w:r>
    </w:p>
    <w:p>
      <w:pPr>
        <w:widowControl/>
        <w:shd w:val="clear" w:color="auto" w:fill="FFFFFF"/>
        <w:ind w:firstLine="1440" w:firstLineChars="600"/>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1800225" cy="1685925"/>
            <wp:effectExtent l="0" t="0" r="3175" b="3175"/>
            <wp:docPr id="3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descr="IMG_275"/>
                    <pic:cNvPicPr>
                      <a:picLocks noChangeAspect="1"/>
                    </pic:cNvPicPr>
                  </pic:nvPicPr>
                  <pic:blipFill>
                    <a:blip r:embed="rId39"/>
                    <a:stretch>
                      <a:fillRect/>
                    </a:stretch>
                  </pic:blipFill>
                  <pic:spPr>
                    <a:xfrm>
                      <a:off x="0" y="0"/>
                      <a:ext cx="1800225" cy="1685925"/>
                    </a:xfrm>
                    <a:prstGeom prst="rect">
                      <a:avLst/>
                    </a:prstGeom>
                    <a:noFill/>
                    <a:ln>
                      <a:noFill/>
                    </a:ln>
                  </pic:spPr>
                </pic:pic>
              </a:graphicData>
            </a:graphic>
          </wp:inline>
        </w:drawing>
      </w:r>
      <w:r>
        <w:rPr>
          <w:rFonts w:hint="eastAsia" w:ascii="Microsoft YaHei UI" w:hAnsi="Microsoft YaHei UI" w:eastAsia="Microsoft YaHei UI" w:cs="Microsoft YaHei UI"/>
          <w:color w:val="000000"/>
          <w:kern w:val="0"/>
          <w:sz w:val="24"/>
          <w:shd w:val="clear" w:color="auto" w:fill="FFFFFF"/>
        </w:rPr>
        <w:t xml:space="preserve">       </w:t>
      </w: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1819275" cy="1638300"/>
            <wp:effectExtent l="0" t="0" r="9525" b="0"/>
            <wp:docPr id="3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76"/>
                    <pic:cNvPicPr>
                      <a:picLocks noChangeAspect="1"/>
                    </pic:cNvPicPr>
                  </pic:nvPicPr>
                  <pic:blipFill>
                    <a:blip r:embed="rId40"/>
                    <a:stretch>
                      <a:fillRect/>
                    </a:stretch>
                  </pic:blipFill>
                  <pic:spPr>
                    <a:xfrm>
                      <a:off x="0" y="0"/>
                      <a:ext cx="1819275" cy="1638300"/>
                    </a:xfrm>
                    <a:prstGeom prst="rect">
                      <a:avLst/>
                    </a:prstGeom>
                    <a:noFill/>
                    <a:ln>
                      <a:noFill/>
                    </a:ln>
                  </pic:spPr>
                </pic:pic>
              </a:graphicData>
            </a:graphic>
          </wp:inline>
        </w:drawing>
      </w:r>
    </w:p>
    <w:p>
      <w:pPr>
        <w:pStyle w:val="6"/>
        <w:wordWrap w:val="0"/>
        <w:spacing w:line="336" w:lineRule="atLeast"/>
        <w:ind w:firstLine="1722" w:firstLineChars="700"/>
        <w:rPr>
          <w:spacing w:val="3"/>
        </w:rPr>
      </w:pPr>
      <w:r>
        <w:rPr>
          <w:rFonts w:hint="eastAsia" w:ascii="Microsoft YaHei UI" w:hAnsi="Microsoft YaHei UI" w:eastAsia="Microsoft YaHei UI" w:cs="Microsoft YaHei UI"/>
          <w:color w:val="191919"/>
          <w:spacing w:val="3"/>
          <w:shd w:val="clear" w:color="auto" w:fill="FFFFFF"/>
        </w:rPr>
        <w:t>武夷学院艺术学院郑主任介绍他们学院的概况及专业特色</w:t>
      </w:r>
    </w:p>
    <w:p>
      <w:pPr>
        <w:widowControl/>
        <w:shd w:val="clear" w:color="auto" w:fill="FFFFFF"/>
        <w:ind w:firstLine="2280" w:firstLineChars="950"/>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2857500" cy="1809750"/>
            <wp:effectExtent l="0" t="0" r="0" b="6350"/>
            <wp:docPr id="3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descr="IMG_277"/>
                    <pic:cNvPicPr>
                      <a:picLocks noChangeAspect="1"/>
                    </pic:cNvPicPr>
                  </pic:nvPicPr>
                  <pic:blipFill>
                    <a:blip r:embed="rId41"/>
                    <a:stretch>
                      <a:fillRect/>
                    </a:stretch>
                  </pic:blipFill>
                  <pic:spPr>
                    <a:xfrm>
                      <a:off x="0" y="0"/>
                      <a:ext cx="2857500" cy="1809750"/>
                    </a:xfrm>
                    <a:prstGeom prst="rect">
                      <a:avLst/>
                    </a:prstGeom>
                    <a:noFill/>
                    <a:ln>
                      <a:noFill/>
                    </a:ln>
                  </pic:spPr>
                </pic:pic>
              </a:graphicData>
            </a:graphic>
          </wp:inline>
        </w:drawing>
      </w:r>
    </w:p>
    <w:p>
      <w:pPr>
        <w:pStyle w:val="6"/>
        <w:spacing w:line="336" w:lineRule="atLeast"/>
        <w:jc w:val="center"/>
        <w:rPr>
          <w:spacing w:val="3"/>
        </w:rPr>
      </w:pPr>
      <w:r>
        <w:rPr>
          <w:rFonts w:hint="eastAsia" w:ascii="Microsoft YaHei UI" w:hAnsi="Microsoft YaHei UI" w:eastAsia="Microsoft YaHei UI" w:cs="Microsoft YaHei UI"/>
          <w:color w:val="191919"/>
          <w:spacing w:val="3"/>
          <w:shd w:val="clear" w:color="auto" w:fill="FFFFFF"/>
        </w:rPr>
        <w:t>武夷学院艺术学院郑主任欢迎我校美术组教师进行院校交流</w:t>
      </w:r>
    </w:p>
    <w:p>
      <w:pPr>
        <w:widowControl/>
        <w:shd w:val="clear" w:color="auto" w:fill="FFFFFF"/>
        <w:jc w:val="center"/>
        <w:rPr>
          <w:rFonts w:hint="eastAsia" w:ascii="Microsoft YaHei UI" w:hAnsi="Microsoft YaHei UI" w:eastAsia="Microsoft YaHei UI" w:cs="Microsoft YaHei UI"/>
          <w:color w:val="000000"/>
          <w:kern w:val="0"/>
          <w:sz w:val="24"/>
          <w:shd w:val="clear" w:color="auto" w:fill="FFFFFF"/>
        </w:rPr>
      </w:pPr>
      <w:r>
        <w:rPr>
          <w:rFonts w:hint="eastAsia" w:ascii="Microsoft YaHei UI" w:hAnsi="Microsoft YaHei UI" w:eastAsia="Microsoft YaHei UI" w:cs="Microsoft YaHei UI"/>
          <w:color w:val="000000"/>
          <w:kern w:val="0"/>
          <w:sz w:val="24"/>
          <w:shd w:val="clear" w:color="auto" w:fill="FFFFFF"/>
        </w:rPr>
        <w:drawing>
          <wp:inline distT="0" distB="0" distL="114300" distR="114300">
            <wp:extent cx="2609850" cy="1476375"/>
            <wp:effectExtent l="0" t="0" r="6350" b="9525"/>
            <wp:docPr id="3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IMG_279"/>
                    <pic:cNvPicPr>
                      <a:picLocks noChangeAspect="1"/>
                    </pic:cNvPicPr>
                  </pic:nvPicPr>
                  <pic:blipFill>
                    <a:blip r:embed="rId42"/>
                    <a:stretch>
                      <a:fillRect/>
                    </a:stretch>
                  </pic:blipFill>
                  <pic:spPr>
                    <a:xfrm>
                      <a:off x="0" y="0"/>
                      <a:ext cx="2609850" cy="1476375"/>
                    </a:xfrm>
                    <a:prstGeom prst="rect">
                      <a:avLst/>
                    </a:prstGeom>
                    <a:noFill/>
                    <a:ln>
                      <a:noFill/>
                    </a:ln>
                  </pic:spPr>
                </pic:pic>
              </a:graphicData>
            </a:graphic>
          </wp:inline>
        </w:drawing>
      </w:r>
    </w:p>
    <w:p>
      <w:pPr>
        <w:widowControl/>
        <w:shd w:val="clear" w:color="auto" w:fill="FFFFFF"/>
        <w:ind w:firstLine="1836" w:firstLineChars="850"/>
        <w:jc w:val="left"/>
        <w:rPr>
          <w:rFonts w:hint="eastAsia" w:ascii="Microsoft YaHei UI" w:hAnsi="Microsoft YaHei UI" w:eastAsia="Microsoft YaHei UI" w:cs="Microsoft YaHei UI"/>
          <w:color w:val="000000"/>
          <w:sz w:val="24"/>
        </w:rPr>
      </w:pPr>
      <w:r>
        <w:rPr>
          <w:rFonts w:hint="eastAsia" w:ascii="Microsoft YaHei UI" w:hAnsi="Microsoft YaHei UI" w:eastAsia="Microsoft YaHei UI" w:cs="Microsoft YaHei UI"/>
          <w:color w:val="191919"/>
          <w:spacing w:val="3"/>
          <w:shd w:val="clear" w:color="auto" w:fill="FFFFFF"/>
        </w:rPr>
        <w:t>两校老师交流探讨作品展观后心得，向武夷学院学习各专业特色</w:t>
      </w:r>
    </w:p>
    <w:p>
      <w:pPr>
        <w:pStyle w:val="6"/>
        <w:wordWrap w:val="0"/>
        <w:spacing w:line="440" w:lineRule="exact"/>
        <w:ind w:firstLine="369" w:firstLineChars="150"/>
        <w:rPr>
          <w:spacing w:val="3"/>
        </w:rPr>
      </w:pPr>
      <w:r>
        <w:rPr>
          <w:rFonts w:hint="eastAsia" w:ascii="Microsoft YaHei UI" w:hAnsi="Microsoft YaHei UI" w:eastAsia="Microsoft YaHei UI" w:cs="Microsoft YaHei UI"/>
          <w:color w:val="191919"/>
          <w:spacing w:val="3"/>
          <w:shd w:val="clear" w:color="auto" w:fill="FFFFFF"/>
        </w:rPr>
        <w:t>《风華正茂》—中央美术学院造型学院藏百副素描作品展来到武夷山，是福建美术界美术教育的读音。是我校教师的福音——感受素描的魅力、造型的伟大、关系的微妙……趣味横生！也借此机会我校美术教师有机会走出校园多看多想多学习……提升眼界明确素描教学的根本方向从而造福千千万万的孩子！</w:t>
      </w:r>
    </w:p>
    <w:p>
      <w:pPr>
        <w:ind w:firstLine="361" w:firstLineChars="150"/>
        <w:jc w:val="left"/>
        <w:rPr>
          <w:rFonts w:hint="eastAsia" w:ascii="仿宋" w:hAnsi="仿宋" w:eastAsia="仿宋" w:cs="宋体"/>
          <w:b/>
          <w:kern w:val="0"/>
          <w:sz w:val="24"/>
          <w:szCs w:val="24"/>
        </w:rPr>
      </w:pPr>
    </w:p>
    <w:p>
      <w:pPr>
        <w:ind w:firstLine="360" w:firstLineChars="150"/>
        <w:jc w:val="left"/>
        <w:rPr>
          <w:rFonts w:hint="eastAsia" w:ascii="Microsoft YaHei UI" w:hAnsi="Microsoft YaHei UI" w:eastAsia="Microsoft YaHei UI" w:cs="Microsoft YaHei UI"/>
          <w:color w:val="191919"/>
          <w:sz w:val="24"/>
          <w:shd w:val="clear" w:color="auto" w:fill="FFFFFF"/>
        </w:rPr>
      </w:pPr>
    </w:p>
    <w:p>
      <w:pPr>
        <w:spacing w:line="400" w:lineRule="exact"/>
        <w:ind w:firstLine="422" w:firstLineChars="150"/>
        <w:rPr>
          <w:rFonts w:ascii="宋体" w:cs="仿宋"/>
          <w:b/>
          <w:bCs/>
          <w:kern w:val="0"/>
          <w:sz w:val="28"/>
          <w:szCs w:val="28"/>
        </w:rPr>
      </w:pPr>
      <w:r>
        <w:rPr>
          <w:rFonts w:ascii="宋体"/>
          <w:b/>
          <w:sz w:val="28"/>
          <w:szCs w:val="28"/>
        </w:rPr>
        <w:t>8.</w:t>
      </w:r>
      <w:r>
        <w:rPr>
          <w:rFonts w:hint="eastAsia" w:ascii="宋体"/>
          <w:b/>
          <w:sz w:val="28"/>
          <w:szCs w:val="28"/>
        </w:rPr>
        <w:t>主要</w:t>
      </w:r>
      <w:r>
        <w:rPr>
          <w:rFonts w:hint="eastAsia" w:ascii="宋体" w:hAnsi="宋体" w:cs="仿宋"/>
          <w:b/>
          <w:bCs/>
          <w:kern w:val="0"/>
          <w:sz w:val="28"/>
          <w:szCs w:val="28"/>
        </w:rPr>
        <w:t>问题和改进措施</w:t>
      </w:r>
    </w:p>
    <w:p>
      <w:pPr>
        <w:spacing w:line="400" w:lineRule="exact"/>
        <w:ind w:firstLine="413" w:firstLineChars="147"/>
        <w:rPr>
          <w:rFonts w:ascii="宋体"/>
          <w:b/>
          <w:sz w:val="28"/>
          <w:szCs w:val="28"/>
        </w:rPr>
      </w:pPr>
    </w:p>
    <w:p>
      <w:pPr>
        <w:spacing w:line="400" w:lineRule="exact"/>
        <w:ind w:firstLine="475" w:firstLineChars="197"/>
        <w:rPr>
          <w:rFonts w:ascii="宋体" w:cs="仿宋"/>
          <w:b/>
          <w:bCs/>
          <w:kern w:val="0"/>
          <w:sz w:val="24"/>
          <w:szCs w:val="24"/>
        </w:rPr>
      </w:pPr>
      <w:r>
        <w:rPr>
          <w:rFonts w:hint="eastAsia" w:ascii="宋体"/>
          <w:b/>
          <w:sz w:val="24"/>
          <w:szCs w:val="24"/>
        </w:rPr>
        <w:t>主要</w:t>
      </w:r>
      <w:r>
        <w:rPr>
          <w:rFonts w:hint="eastAsia" w:ascii="宋体" w:hAnsi="宋体" w:cs="仿宋"/>
          <w:b/>
          <w:bCs/>
          <w:kern w:val="0"/>
          <w:sz w:val="24"/>
          <w:szCs w:val="24"/>
        </w:rPr>
        <w:t>问题：</w:t>
      </w:r>
      <w:r>
        <w:rPr>
          <w:rFonts w:ascii="宋体" w:hAnsi="宋体"/>
          <w:b/>
          <w:sz w:val="24"/>
          <w:szCs w:val="24"/>
        </w:rPr>
        <w:t>(1)</w:t>
      </w:r>
      <w:r>
        <w:rPr>
          <w:rFonts w:hint="eastAsia" w:ascii="宋体" w:hAnsi="宋体"/>
          <w:b/>
          <w:sz w:val="24"/>
          <w:szCs w:val="24"/>
        </w:rPr>
        <w:t>人才培养模式改革，教学资源矛盾凸显。</w:t>
      </w:r>
    </w:p>
    <w:p>
      <w:pPr>
        <w:spacing w:line="400" w:lineRule="exact"/>
        <w:ind w:firstLine="480"/>
        <w:rPr>
          <w:rFonts w:hint="eastAsia" w:ascii="宋体" w:hAnsi="宋体"/>
          <w:sz w:val="24"/>
          <w:szCs w:val="24"/>
        </w:rPr>
      </w:pPr>
      <w:r>
        <w:rPr>
          <w:rFonts w:ascii="宋体" w:hAnsi="宋体"/>
          <w:sz w:val="24"/>
          <w:szCs w:val="24"/>
        </w:rPr>
        <w:t>2016</w:t>
      </w:r>
      <w:r>
        <w:rPr>
          <w:rFonts w:hint="eastAsia" w:ascii="宋体" w:hAnsi="宋体"/>
          <w:sz w:val="24"/>
          <w:szCs w:val="24"/>
        </w:rPr>
        <w:t>年，教育部《关于印发</w:t>
      </w:r>
      <w:r>
        <w:rPr>
          <w:rFonts w:ascii="宋体" w:hAnsi="宋体"/>
          <w:sz w:val="24"/>
          <w:szCs w:val="24"/>
        </w:rPr>
        <w:t>&lt;</w:t>
      </w:r>
      <w:r>
        <w:rPr>
          <w:rFonts w:hint="eastAsia" w:ascii="宋体" w:hAnsi="宋体"/>
          <w:sz w:val="24"/>
          <w:szCs w:val="24"/>
        </w:rPr>
        <w:t>职业学校学生实习管理规定</w:t>
      </w:r>
      <w:r>
        <w:rPr>
          <w:rFonts w:ascii="宋体" w:hAnsi="宋体"/>
          <w:sz w:val="24"/>
          <w:szCs w:val="24"/>
        </w:rPr>
        <w:t>&gt;</w:t>
      </w:r>
      <w:r>
        <w:rPr>
          <w:rFonts w:hint="eastAsia" w:ascii="宋体" w:hAnsi="宋体"/>
          <w:sz w:val="24"/>
          <w:szCs w:val="24"/>
        </w:rPr>
        <w:t>的通知》文件颁布，职业学校人才培养模式开始由“</w:t>
      </w:r>
      <w:r>
        <w:rPr>
          <w:rFonts w:ascii="宋体" w:hAnsi="宋体"/>
          <w:sz w:val="24"/>
          <w:szCs w:val="24"/>
        </w:rPr>
        <w:t>2+l</w:t>
      </w:r>
      <w:r>
        <w:rPr>
          <w:rFonts w:hint="eastAsia" w:ascii="宋体" w:hAnsi="宋体"/>
          <w:sz w:val="24"/>
          <w:szCs w:val="24"/>
        </w:rPr>
        <w:t>”改为“</w:t>
      </w:r>
      <w:r>
        <w:rPr>
          <w:rFonts w:ascii="宋体" w:hAnsi="宋体"/>
          <w:sz w:val="24"/>
          <w:szCs w:val="24"/>
        </w:rPr>
        <w:t>2.5+0.5</w:t>
      </w:r>
      <w:r>
        <w:rPr>
          <w:rFonts w:hint="eastAsia" w:ascii="宋体" w:hAnsi="宋体"/>
          <w:sz w:val="24"/>
          <w:szCs w:val="24"/>
        </w:rPr>
        <w:t>”，在学制变更过渡的第三年，随着我校生源增加，在校生数较往年增加很多，新校区尚未建成，教学资源矛盾爆发，课程量增加，教师需求增大，同时，教室、宿舍、实训室等学习及生活资源短缺，严重影响日常教育教学活动的开展。</w:t>
      </w:r>
    </w:p>
    <w:p>
      <w:pPr>
        <w:spacing w:line="400" w:lineRule="exact"/>
        <w:ind w:firstLine="480"/>
        <w:rPr>
          <w:rFonts w:ascii="宋体"/>
          <w:sz w:val="24"/>
          <w:szCs w:val="24"/>
        </w:rPr>
      </w:pPr>
      <w:r>
        <w:rPr>
          <w:rFonts w:hint="eastAsia" w:ascii="宋体" w:hAnsi="宋体"/>
          <w:b/>
          <w:sz w:val="24"/>
          <w:szCs w:val="24"/>
        </w:rPr>
        <w:t>具体措施：</w:t>
      </w:r>
      <w:r>
        <w:rPr>
          <w:rFonts w:hint="eastAsia" w:ascii="宋体" w:hAnsi="宋体"/>
          <w:sz w:val="24"/>
          <w:szCs w:val="24"/>
        </w:rPr>
        <w:t>人才培养模式的改革还需要各级主管部门协同学校再规划，确保师资录取、场地、设备等资源到位，保障教学秩序，提高教学质量。</w:t>
      </w:r>
    </w:p>
    <w:p>
      <w:pPr>
        <w:spacing w:line="400" w:lineRule="exact"/>
        <w:rPr>
          <w:rFonts w:ascii="宋体"/>
          <w:sz w:val="24"/>
          <w:szCs w:val="24"/>
        </w:rPr>
      </w:pPr>
      <w:r>
        <w:rPr>
          <w:rFonts w:ascii="宋体" w:hAnsi="宋体"/>
          <w:sz w:val="24"/>
          <w:szCs w:val="24"/>
        </w:rPr>
        <w:t xml:space="preserve">    </w:t>
      </w:r>
      <w:r>
        <w:rPr>
          <w:rFonts w:hint="eastAsia" w:ascii="宋体"/>
          <w:b/>
          <w:sz w:val="24"/>
          <w:szCs w:val="24"/>
        </w:rPr>
        <w:t>主要</w:t>
      </w:r>
      <w:r>
        <w:rPr>
          <w:rFonts w:hint="eastAsia" w:ascii="宋体" w:hAnsi="宋体" w:cs="仿宋"/>
          <w:b/>
          <w:bCs/>
          <w:kern w:val="0"/>
          <w:sz w:val="24"/>
          <w:szCs w:val="24"/>
        </w:rPr>
        <w:t>问题：</w:t>
      </w:r>
      <w:r>
        <w:rPr>
          <w:rFonts w:hint="eastAsia" w:ascii="宋体" w:hAnsi="宋体"/>
          <w:b/>
          <w:sz w:val="24"/>
          <w:szCs w:val="24"/>
        </w:rPr>
        <w:t>（2）学业水平测试与高职分类考试对职业教育提出更高要求。</w:t>
      </w:r>
    </w:p>
    <w:p>
      <w:pPr>
        <w:spacing w:line="400" w:lineRule="exact"/>
        <w:ind w:firstLine="480"/>
        <w:rPr>
          <w:rFonts w:hint="eastAsia" w:ascii="宋体" w:hAnsi="宋体"/>
          <w:sz w:val="24"/>
          <w:szCs w:val="24"/>
        </w:rPr>
      </w:pPr>
      <w:r>
        <w:rPr>
          <w:rFonts w:hint="eastAsia" w:ascii="宋体" w:hAnsi="宋体"/>
          <w:sz w:val="24"/>
          <w:szCs w:val="24"/>
        </w:rPr>
        <w:t>学业水平测试与高职分类考试工作的实施对学校教育教学工作的开展提出了更高的要求。职业学校学生文化基础薄弱，差距大，兼顾学生文化素质和实践技能的培养是学校一个重大的挑战。</w:t>
      </w:r>
    </w:p>
    <w:p>
      <w:pPr>
        <w:spacing w:line="400" w:lineRule="exact"/>
        <w:ind w:firstLine="480"/>
        <w:rPr>
          <w:rFonts w:ascii="宋体"/>
          <w:sz w:val="24"/>
          <w:szCs w:val="24"/>
        </w:rPr>
      </w:pPr>
      <w:r>
        <w:rPr>
          <w:rFonts w:hint="eastAsia" w:ascii="宋体" w:hAnsi="宋体"/>
          <w:b/>
          <w:sz w:val="24"/>
          <w:szCs w:val="24"/>
        </w:rPr>
        <w:t>具体措施：</w:t>
      </w:r>
      <w:r>
        <w:rPr>
          <w:rFonts w:hint="eastAsia" w:ascii="宋体" w:hAnsi="宋体"/>
          <w:sz w:val="24"/>
          <w:szCs w:val="24"/>
        </w:rPr>
        <w:t>为更好应对学业水平测试与高职分类考试工作，学校将加大宣传力度，通过各种形式让师生了解学业水平测试工作的重要性，同时建立健全教学质量监控体系，建立相应组织机构，明确职责，修订人才培养方案，调整教学策略，全方位推进学业水平测试与高职分类考试工作的开展，多社会培养高职院校人才。</w:t>
      </w:r>
    </w:p>
    <w:p>
      <w:pPr>
        <w:spacing w:line="400" w:lineRule="exact"/>
        <w:ind w:firstLine="482" w:firstLineChars="200"/>
        <w:rPr>
          <w:rFonts w:ascii="宋体"/>
          <w:sz w:val="24"/>
          <w:szCs w:val="24"/>
        </w:rPr>
      </w:pPr>
      <w:r>
        <w:rPr>
          <w:rFonts w:hint="eastAsia" w:ascii="宋体"/>
          <w:b/>
          <w:sz w:val="24"/>
          <w:szCs w:val="24"/>
        </w:rPr>
        <w:t>主要</w:t>
      </w:r>
      <w:r>
        <w:rPr>
          <w:rFonts w:hint="eastAsia" w:ascii="宋体" w:hAnsi="宋体" w:cs="仿宋"/>
          <w:b/>
          <w:bCs/>
          <w:kern w:val="0"/>
          <w:sz w:val="24"/>
          <w:szCs w:val="24"/>
        </w:rPr>
        <w:t>问题：</w:t>
      </w:r>
      <w:r>
        <w:rPr>
          <w:rFonts w:hint="eastAsia" w:ascii="宋体" w:hAnsi="宋体" w:cs="仿宋"/>
          <w:b/>
          <w:kern w:val="0"/>
          <w:sz w:val="24"/>
        </w:rPr>
        <w:t>（</w:t>
      </w:r>
      <w:r>
        <w:rPr>
          <w:rFonts w:ascii="宋体" w:hAnsi="宋体" w:cs="仿宋"/>
          <w:b/>
          <w:kern w:val="0"/>
          <w:sz w:val="24"/>
        </w:rPr>
        <w:t>3</w:t>
      </w:r>
      <w:r>
        <w:rPr>
          <w:rFonts w:hint="eastAsia" w:ascii="宋体" w:hAnsi="宋体" w:cs="仿宋"/>
          <w:b/>
          <w:kern w:val="0"/>
          <w:sz w:val="24"/>
        </w:rPr>
        <w:t>）招生规模需进一步加大。</w:t>
      </w:r>
    </w:p>
    <w:p>
      <w:pPr>
        <w:spacing w:line="400" w:lineRule="exact"/>
        <w:ind w:firstLine="472" w:firstLineChars="197"/>
        <w:rPr>
          <w:rFonts w:hint="eastAsia" w:ascii="宋体" w:hAnsi="宋体"/>
          <w:sz w:val="24"/>
          <w:szCs w:val="24"/>
        </w:rPr>
      </w:pPr>
      <w:r>
        <w:rPr>
          <w:rFonts w:hint="eastAsia" w:ascii="宋体" w:hAnsi="宋体" w:cs="仿宋"/>
          <w:kern w:val="0"/>
          <w:sz w:val="24"/>
        </w:rPr>
        <w:t>虽然</w:t>
      </w:r>
      <w:r>
        <w:rPr>
          <w:rFonts w:ascii="宋体" w:hAnsi="宋体" w:cs="仿宋"/>
          <w:kern w:val="0"/>
          <w:sz w:val="24"/>
        </w:rPr>
        <w:t>201</w:t>
      </w:r>
      <w:r>
        <w:rPr>
          <w:rFonts w:hint="eastAsia" w:ascii="宋体" w:hAnsi="宋体" w:cs="仿宋"/>
          <w:kern w:val="0"/>
          <w:sz w:val="24"/>
        </w:rPr>
        <w:t>9</w:t>
      </w:r>
      <w:r>
        <w:rPr>
          <w:rFonts w:ascii="宋体" w:hAnsi="宋体" w:cs="仿宋"/>
          <w:kern w:val="0"/>
          <w:sz w:val="24"/>
        </w:rPr>
        <w:t>—20</w:t>
      </w:r>
      <w:r>
        <w:rPr>
          <w:rFonts w:hint="eastAsia" w:ascii="宋体" w:hAnsi="宋体" w:cs="仿宋"/>
          <w:kern w:val="0"/>
          <w:sz w:val="24"/>
        </w:rPr>
        <w:t>20学年取得了历年来招生数的突破，但与形成一定的省级示范校规模效益仍有差距，</w:t>
      </w:r>
      <w:r>
        <w:rPr>
          <w:rFonts w:hint="eastAsia" w:ascii="宋体" w:hAnsi="宋体"/>
          <w:sz w:val="24"/>
          <w:szCs w:val="24"/>
        </w:rPr>
        <w:t>招生生源整体素质下降。招生难，难招生，形势不容乐观，学校招生面临容量小，生存空间窄的尴尬局面。</w:t>
      </w:r>
    </w:p>
    <w:p>
      <w:pPr>
        <w:spacing w:line="400" w:lineRule="exact"/>
        <w:ind w:firstLine="472" w:firstLineChars="197"/>
        <w:rPr>
          <w:rFonts w:ascii="宋体"/>
          <w:b/>
          <w:sz w:val="24"/>
          <w:szCs w:val="24"/>
        </w:rPr>
      </w:pPr>
      <w:r>
        <w:rPr>
          <w:rFonts w:hint="eastAsia" w:ascii="宋体" w:hAnsi="宋体"/>
          <w:sz w:val="24"/>
          <w:szCs w:val="24"/>
        </w:rPr>
        <w:t xml:space="preserve">具体措施： </w:t>
      </w:r>
      <w:r>
        <w:rPr>
          <w:rFonts w:hint="eastAsia" w:ascii="宋体" w:hAnsi="宋体" w:cs="仿宋"/>
          <w:kern w:val="0"/>
          <w:sz w:val="24"/>
        </w:rPr>
        <w:t>随着招生环境的近一步优化，新校区的建成使用，招生政策的近一步落实，学校的招生将越来越好。</w:t>
      </w:r>
    </w:p>
    <w:p>
      <w:pPr>
        <w:spacing w:line="400" w:lineRule="exact"/>
        <w:ind w:firstLine="482" w:firstLineChars="200"/>
        <w:rPr>
          <w:rFonts w:ascii="宋体"/>
          <w:b/>
          <w:sz w:val="24"/>
          <w:szCs w:val="24"/>
        </w:rPr>
      </w:pPr>
      <w:r>
        <w:rPr>
          <w:rFonts w:hint="eastAsia" w:ascii="宋体"/>
          <w:b/>
          <w:sz w:val="24"/>
          <w:szCs w:val="24"/>
        </w:rPr>
        <w:t>主要</w:t>
      </w:r>
      <w:r>
        <w:rPr>
          <w:rFonts w:hint="eastAsia" w:ascii="宋体" w:hAnsi="宋体" w:cs="仿宋"/>
          <w:b/>
          <w:bCs/>
          <w:kern w:val="0"/>
          <w:sz w:val="24"/>
          <w:szCs w:val="24"/>
        </w:rPr>
        <w:t>问题：</w:t>
      </w:r>
      <w:r>
        <w:rPr>
          <w:rFonts w:hint="eastAsia" w:ascii="宋体" w:hAnsi="宋体" w:cs="仿宋"/>
          <w:b/>
          <w:kern w:val="0"/>
          <w:sz w:val="24"/>
        </w:rPr>
        <w:t>（</w:t>
      </w:r>
      <w:r>
        <w:rPr>
          <w:rFonts w:ascii="宋体" w:hAnsi="宋体" w:cs="仿宋"/>
          <w:b/>
          <w:kern w:val="0"/>
          <w:sz w:val="24"/>
        </w:rPr>
        <w:t>4</w:t>
      </w:r>
      <w:r>
        <w:rPr>
          <w:rFonts w:hint="eastAsia" w:ascii="宋体" w:hAnsi="宋体" w:cs="仿宋"/>
          <w:b/>
          <w:kern w:val="0"/>
          <w:sz w:val="24"/>
        </w:rPr>
        <w:t>）</w:t>
      </w:r>
      <w:r>
        <w:rPr>
          <w:rFonts w:hint="eastAsia" w:ascii="宋体" w:hAnsi="宋体"/>
          <w:b/>
          <w:sz w:val="24"/>
          <w:szCs w:val="24"/>
        </w:rPr>
        <w:t>双师低、实操弱，师资亟待优化。</w:t>
      </w:r>
    </w:p>
    <w:p>
      <w:pPr>
        <w:spacing w:line="400" w:lineRule="exact"/>
        <w:ind w:firstLine="480" w:firstLineChars="200"/>
        <w:rPr>
          <w:rFonts w:ascii="宋体"/>
          <w:sz w:val="24"/>
          <w:szCs w:val="24"/>
        </w:rPr>
      </w:pPr>
      <w:r>
        <w:rPr>
          <w:rFonts w:hint="eastAsia" w:ascii="宋体" w:hAnsi="宋体"/>
          <w:sz w:val="24"/>
          <w:szCs w:val="24"/>
        </w:rPr>
        <w:t>本学年学校录用了5个编外新教师，新教师教学等经验明显不足，教师队伍结构不够合理，</w:t>
      </w:r>
      <w:r>
        <w:rPr>
          <w:rFonts w:hint="eastAsia"/>
          <w:sz w:val="24"/>
          <w:szCs w:val="24"/>
        </w:rPr>
        <w:t>专业之间、教师年龄结构及教科研水平发展不平衡：教师专业背景与学校专业结构布局的吻合度、适应度有待进一步加强。</w:t>
      </w:r>
      <w:r>
        <w:rPr>
          <w:rFonts w:hint="eastAsia" w:ascii="宋体" w:hAnsi="宋体"/>
          <w:sz w:val="24"/>
          <w:szCs w:val="24"/>
        </w:rPr>
        <w:t>“双师型”专业教师师资队伍的数量和质量成为学校健康发展的制约因素。“双师型”教师技术应用能力和实践能力亟待加强，教师队伍整体结构有待进一步优化。另</w:t>
      </w:r>
      <w:r>
        <w:rPr>
          <w:rFonts w:hint="eastAsia" w:ascii="宋体" w:hAnsi="宋体" w:cs="仿宋"/>
          <w:kern w:val="0"/>
          <w:sz w:val="24"/>
        </w:rPr>
        <w:t>师生参加各级技能竞赛的能动性较低，获奖情况不容乐观。部分专业教师</w:t>
      </w:r>
      <w:r>
        <w:rPr>
          <w:rFonts w:hint="eastAsia" w:ascii="宋体" w:hAnsi="宋体"/>
          <w:sz w:val="24"/>
          <w:szCs w:val="24"/>
        </w:rPr>
        <w:t>没有经过企业实践和社会实践，虽然也参加各种各样提升专业技能水平的培训，但仍然无法满足专业教学的需要。</w:t>
      </w:r>
      <w:r>
        <w:rPr>
          <w:rFonts w:hint="eastAsia" w:ascii="宋体" w:hAnsi="宋体" w:cs="仿宋"/>
          <w:kern w:val="0"/>
          <w:sz w:val="24"/>
        </w:rPr>
        <w:t>因此，制定措施，调动参加技能竞赛的积极性</w:t>
      </w:r>
    </w:p>
    <w:p>
      <w:pPr>
        <w:spacing w:line="400" w:lineRule="exact"/>
        <w:ind w:firstLine="482" w:firstLineChars="200"/>
        <w:jc w:val="left"/>
        <w:rPr>
          <w:rFonts w:hint="eastAsia" w:ascii="宋体" w:hAnsi="宋体"/>
          <w:sz w:val="24"/>
          <w:szCs w:val="24"/>
        </w:rPr>
      </w:pPr>
      <w:r>
        <w:rPr>
          <w:rFonts w:hint="eastAsia" w:ascii="宋体" w:hAnsi="宋体"/>
          <w:b/>
          <w:sz w:val="24"/>
          <w:szCs w:val="24"/>
        </w:rPr>
        <w:t>具体措施：</w:t>
      </w: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1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lang w:val="en-US" w:eastAsia="zh-CN"/>
        </w:rPr>
        <w:t>①</w:t>
      </w:r>
      <w:r>
        <w:rPr>
          <w:rFonts w:ascii="宋体" w:hAnsi="宋体"/>
          <w:sz w:val="24"/>
          <w:szCs w:val="24"/>
        </w:rPr>
        <w:fldChar w:fldCharType="end"/>
      </w:r>
      <w:r>
        <w:rPr>
          <w:rFonts w:hint="eastAsia" w:ascii="宋体" w:hAnsi="宋体"/>
          <w:sz w:val="24"/>
          <w:szCs w:val="24"/>
        </w:rPr>
        <w:t>加强“双师型”教师培养。实行专业教师定期实践制度，安排没有实践经验的专业教师到紧密型合作企业，通过顶岗实训、中短期专业培训、合作研发等形式接触先进的生产设备、技术工艺和企业文化，及时了解现代企业生产、管理过程，体验企业生产氛围，实现教师与企业、专业与职业、理论与实践的“零距离”对接，提高教师的实践经验，强化教师的实践技能。</w:t>
      </w: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2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lang w:val="en-US" w:eastAsia="zh-CN"/>
        </w:rPr>
        <w:t>②</w:t>
      </w:r>
      <w:r>
        <w:rPr>
          <w:rFonts w:ascii="宋体" w:hAnsi="宋体"/>
          <w:sz w:val="24"/>
          <w:szCs w:val="24"/>
        </w:rPr>
        <w:fldChar w:fldCharType="end"/>
      </w:r>
      <w:r>
        <w:rPr>
          <w:rFonts w:hint="eastAsia" w:ascii="宋体" w:hAnsi="宋体"/>
          <w:sz w:val="24"/>
          <w:szCs w:val="24"/>
        </w:rPr>
        <w:t>加大聘请具有实践经验的专业技术人员、高技能人才担任兼职教师的力度，一是从生产一线选聘有实践经验的技术骨干，经过教师培训做兼职教师，二是从企业引进一些专业基础扎实，有丰富实践经验或操作技能，具备教师基本条件的技术骨干做专职教师，采用这种请进企业精英的办法，既可优化整体结构，提高“双师型”教师的比例，又可对在校专业教师的实践能力的提高起到“传、帮、带”的作用，引领专业教师成长。</w:t>
      </w:r>
      <w:r>
        <w:rPr>
          <w:rFonts w:ascii="宋体" w:hAnsi="宋体"/>
          <w:sz w:val="24"/>
          <w:szCs w:val="24"/>
        </w:rPr>
        <w:fldChar w:fldCharType="begin"/>
      </w:r>
      <w:r>
        <w:rPr>
          <w:rFonts w:ascii="宋体" w:hAnsi="宋体"/>
          <w:sz w:val="24"/>
          <w:szCs w:val="24"/>
        </w:rPr>
        <w:instrText xml:space="preserve"> </w:instrText>
      </w:r>
      <w:r>
        <w:rPr>
          <w:rFonts w:hint="eastAsia" w:ascii="宋体" w:hAnsi="宋体"/>
          <w:sz w:val="24"/>
          <w:szCs w:val="24"/>
        </w:rPr>
        <w:instrText xml:space="preserve">= 3 \* GB3</w:instrText>
      </w:r>
      <w:r>
        <w:rPr>
          <w:rFonts w:ascii="宋体" w:hAnsi="宋体"/>
          <w:sz w:val="24"/>
          <w:szCs w:val="24"/>
        </w:rPr>
        <w:instrText xml:space="preserve"> </w:instrText>
      </w:r>
      <w:r>
        <w:rPr>
          <w:rFonts w:ascii="宋体" w:hAnsi="宋体"/>
          <w:sz w:val="24"/>
          <w:szCs w:val="24"/>
        </w:rPr>
        <w:fldChar w:fldCharType="separate"/>
      </w:r>
      <w:r>
        <w:rPr>
          <w:rFonts w:hint="eastAsia" w:ascii="宋体" w:hAnsi="宋体"/>
          <w:sz w:val="24"/>
          <w:szCs w:val="24"/>
          <w:lang w:val="en-US" w:eastAsia="zh-CN"/>
        </w:rPr>
        <w:t>③</w:t>
      </w:r>
      <w:r>
        <w:rPr>
          <w:rFonts w:ascii="宋体" w:hAnsi="宋体"/>
          <w:sz w:val="24"/>
          <w:szCs w:val="24"/>
        </w:rPr>
        <w:fldChar w:fldCharType="end"/>
      </w:r>
      <w:r>
        <w:rPr>
          <w:rFonts w:hint="eastAsia" w:ascii="宋体" w:hAnsi="宋体"/>
          <w:sz w:val="24"/>
          <w:szCs w:val="24"/>
        </w:rPr>
        <w:t>鼓励教师参加各种专业技能培训与进修，获取相应的高级工以上职业资格证书，其报考、培训、考试等费用由学校按有关规定报销。</w:t>
      </w:r>
    </w:p>
    <w:p>
      <w:pPr>
        <w:widowControl/>
        <w:spacing w:line="400" w:lineRule="exact"/>
        <w:ind w:firstLine="482" w:firstLineChars="200"/>
        <w:jc w:val="left"/>
        <w:rPr>
          <w:rFonts w:ascii="宋体" w:cs="仿宋"/>
          <w:b/>
          <w:kern w:val="0"/>
          <w:sz w:val="24"/>
        </w:rPr>
      </w:pPr>
      <w:r>
        <w:rPr>
          <w:rFonts w:hint="eastAsia" w:ascii="宋体"/>
          <w:b/>
          <w:sz w:val="24"/>
          <w:szCs w:val="24"/>
        </w:rPr>
        <w:t>主要</w:t>
      </w:r>
      <w:r>
        <w:rPr>
          <w:rFonts w:hint="eastAsia" w:ascii="宋体" w:hAnsi="宋体" w:cs="仿宋"/>
          <w:b/>
          <w:bCs/>
          <w:kern w:val="0"/>
          <w:sz w:val="24"/>
          <w:szCs w:val="24"/>
        </w:rPr>
        <w:t>问题：</w:t>
      </w:r>
      <w:r>
        <w:rPr>
          <w:rFonts w:hint="eastAsia" w:ascii="宋体" w:hAnsi="宋体" w:cs="仿宋"/>
          <w:b/>
          <w:kern w:val="0"/>
          <w:sz w:val="24"/>
        </w:rPr>
        <w:t>（</w:t>
      </w:r>
      <w:r>
        <w:rPr>
          <w:rFonts w:ascii="宋体" w:hAnsi="宋体" w:cs="仿宋"/>
          <w:b/>
          <w:kern w:val="0"/>
          <w:sz w:val="24"/>
        </w:rPr>
        <w:t>5</w:t>
      </w:r>
      <w:r>
        <w:rPr>
          <w:rFonts w:hint="eastAsia" w:ascii="宋体" w:hAnsi="宋体" w:cs="仿宋"/>
          <w:b/>
          <w:kern w:val="0"/>
          <w:sz w:val="24"/>
        </w:rPr>
        <w:t>）办学基础条件尚需加强。</w:t>
      </w:r>
    </w:p>
    <w:p>
      <w:pPr>
        <w:spacing w:line="400" w:lineRule="exact"/>
        <w:jc w:val="left"/>
        <w:rPr>
          <w:rFonts w:ascii="宋体" w:hAnsi="宋体"/>
          <w:sz w:val="24"/>
          <w:szCs w:val="24"/>
        </w:rPr>
      </w:pPr>
      <w:r>
        <w:rPr>
          <w:rFonts w:hint="eastAsia" w:ascii="宋体" w:hAnsi="宋体"/>
          <w:sz w:val="24"/>
          <w:szCs w:val="24"/>
        </w:rPr>
        <w:t>当前旧学校的基础建设还相当薄弱，面积小、设备缺，不能满足学校发展的需求；学校教职工的观念难与时俱进，还处在职业倦怠现象，对学生素质发生变化，如何以人为本，服务学生，切实加强中职生管理和有效教学方面的研究难以与时代同步，学校办学步履艰难，生机与活力明显不足，且又面临转型（已申报为省达标中职校），在艺术类专业、师资、硬件等方面还急需大量投入，急需政府部门的大力支持。</w:t>
      </w:r>
      <w:r>
        <w:rPr>
          <w:rFonts w:hint="eastAsia" w:ascii="宋体" w:hAnsi="宋体"/>
          <w:bCs/>
          <w:sz w:val="24"/>
          <w:szCs w:val="24"/>
        </w:rPr>
        <w:t>学校对外培训及生产、咨询、技术服务项目无法开展。</w:t>
      </w:r>
      <w:r>
        <w:rPr>
          <w:rFonts w:hint="eastAsia" w:ascii="宋体" w:hAnsi="宋体"/>
          <w:sz w:val="24"/>
          <w:szCs w:val="24"/>
        </w:rPr>
        <w:t>专业教师教学工作量大，受专业设置的影响，开展对外培训及生产、咨询和技术服务项目时间与精力不足。如何办成一所多专业的综合性职业学校有待研讨与实践。</w:t>
      </w:r>
    </w:p>
    <w:p>
      <w:pPr>
        <w:spacing w:line="400" w:lineRule="exact"/>
        <w:ind w:left="479" w:leftChars="228"/>
        <w:rPr>
          <w:rFonts w:hint="eastAsia" w:ascii="宋体" w:hAnsi="宋体"/>
          <w:sz w:val="24"/>
          <w:szCs w:val="24"/>
        </w:rPr>
      </w:pPr>
      <w:r>
        <w:rPr>
          <w:rFonts w:hint="eastAsia" w:ascii="宋体" w:hAnsi="宋体"/>
          <w:b/>
          <w:sz w:val="24"/>
          <w:szCs w:val="24"/>
        </w:rPr>
        <w:t>具体措施：</w:t>
      </w:r>
      <w:r>
        <w:rPr>
          <w:rFonts w:hint="eastAsia" w:ascii="宋体" w:hAnsi="宋体"/>
          <w:sz w:val="24"/>
          <w:szCs w:val="24"/>
        </w:rPr>
        <w:t>学校将力求突破美术、音乐等艺术类专业教育制约瓶颈，探求职业</w:t>
      </w:r>
    </w:p>
    <w:p>
      <w:pPr>
        <w:spacing w:line="400" w:lineRule="exact"/>
        <w:rPr>
          <w:rFonts w:ascii="宋体"/>
          <w:sz w:val="24"/>
          <w:szCs w:val="24"/>
        </w:rPr>
      </w:pPr>
      <w:r>
        <w:rPr>
          <w:rFonts w:hint="eastAsia" w:ascii="宋体" w:hAnsi="宋体"/>
          <w:sz w:val="24"/>
          <w:szCs w:val="24"/>
        </w:rPr>
        <w:t>教育改革发展途径，争创一流艺术类职业统筹规划，学校积极参与以提高质量、促进就业、服务发展为导向，学校将积极配合当地政府在职业教育体系建设中的引导、规范和督导作用，深化重要领域和关键环节的改革。根据区域经济社会发展需要，探索体系建设模式，推动职业教育多样化、多形式发展。灵活运用职业教育的办学类型新举措，合理发展全日制职业教育与非全日制职业教育，增加学校非全日制职业教育在职业教育中的比重，学校将进行工学交替、双元制、学徒制、半工半读等各种灵活学习方式的职业教育。</w:t>
      </w:r>
    </w:p>
    <w:p>
      <w:pPr>
        <w:spacing w:line="400" w:lineRule="exact"/>
        <w:ind w:firstLine="482" w:firstLineChars="200"/>
        <w:jc w:val="left"/>
        <w:rPr>
          <w:rFonts w:ascii="宋体" w:hAnsi="宋体"/>
          <w:sz w:val="24"/>
          <w:szCs w:val="24"/>
        </w:rPr>
      </w:pPr>
      <w:r>
        <w:rPr>
          <w:rFonts w:hint="eastAsia" w:ascii="宋体"/>
          <w:b/>
          <w:sz w:val="24"/>
          <w:szCs w:val="24"/>
        </w:rPr>
        <w:t>主要</w:t>
      </w:r>
      <w:r>
        <w:rPr>
          <w:rFonts w:hint="eastAsia" w:ascii="宋体" w:hAnsi="宋体" w:cs="仿宋"/>
          <w:b/>
          <w:bCs/>
          <w:kern w:val="0"/>
          <w:sz w:val="24"/>
          <w:szCs w:val="24"/>
        </w:rPr>
        <w:t>问题：</w:t>
      </w:r>
      <w:r>
        <w:rPr>
          <w:rFonts w:hint="eastAsia" w:ascii="宋体" w:hAnsi="宋体"/>
          <w:b/>
          <w:sz w:val="24"/>
          <w:szCs w:val="24"/>
        </w:rPr>
        <w:t>（</w:t>
      </w:r>
      <w:r>
        <w:rPr>
          <w:rFonts w:ascii="宋体" w:hAnsi="宋体"/>
          <w:b/>
          <w:sz w:val="24"/>
          <w:szCs w:val="24"/>
        </w:rPr>
        <w:t>6</w:t>
      </w:r>
      <w:r>
        <w:rPr>
          <w:rFonts w:hint="eastAsia" w:ascii="宋体" w:hAnsi="宋体"/>
          <w:b/>
          <w:sz w:val="24"/>
          <w:szCs w:val="24"/>
        </w:rPr>
        <w:t>）合作难、难合作，校企融合不畅。</w:t>
      </w:r>
    </w:p>
    <w:p>
      <w:pPr>
        <w:spacing w:line="400" w:lineRule="exact"/>
        <w:ind w:firstLine="480" w:firstLineChars="200"/>
        <w:rPr>
          <w:rFonts w:hint="eastAsia" w:ascii="宋体"/>
          <w:sz w:val="24"/>
          <w:szCs w:val="24"/>
        </w:rPr>
      </w:pPr>
      <w:r>
        <w:rPr>
          <w:rFonts w:hint="eastAsia" w:ascii="宋体" w:hAnsi="宋体"/>
          <w:sz w:val="24"/>
          <w:szCs w:val="24"/>
        </w:rPr>
        <w:t>当前学校在与企业合作过程中，企业在无利可图的情况下，往往缺少积极性，不乐意与学校搞合作，校企合作的实践之路并不轻松，存在各种问题。有些政策有规定，但在实际工作中未得到真正落实。</w:t>
      </w:r>
      <w:r>
        <w:rPr>
          <w:rFonts w:hint="eastAsia" w:ascii="宋体" w:hAnsi="宋体"/>
          <w:bCs/>
          <w:sz w:val="24"/>
          <w:szCs w:val="24"/>
        </w:rPr>
        <w:t>专业教师队伍中能工巧匠教师缺乏。</w:t>
      </w:r>
    </w:p>
    <w:p>
      <w:pPr>
        <w:spacing w:line="400" w:lineRule="exact"/>
        <w:ind w:firstLine="482" w:firstLineChars="200"/>
        <w:rPr>
          <w:rFonts w:hint="eastAsia" w:ascii="宋体"/>
          <w:b/>
          <w:sz w:val="24"/>
          <w:szCs w:val="24"/>
        </w:rPr>
      </w:pPr>
      <w:bookmarkStart w:id="0" w:name="_Toc389470865"/>
      <w:bookmarkStart w:id="1" w:name="_Toc389470869"/>
      <w:bookmarkStart w:id="2" w:name="_Toc381884946"/>
      <w:r>
        <w:rPr>
          <w:rFonts w:hint="eastAsia" w:ascii="宋体" w:hAnsi="宋体"/>
          <w:b/>
          <w:sz w:val="24"/>
          <w:szCs w:val="24"/>
        </w:rPr>
        <w:t>具体措施：</w:t>
      </w:r>
      <w:r>
        <w:rPr>
          <w:rFonts w:hint="eastAsia" w:ascii="宋体" w:hAnsi="宋体"/>
          <w:sz w:val="24"/>
          <w:szCs w:val="24"/>
        </w:rPr>
        <w:t>完善学校</w:t>
      </w:r>
      <w:bookmarkEnd w:id="0"/>
      <w:r>
        <w:rPr>
          <w:rFonts w:hint="eastAsia" w:ascii="宋体" w:hAnsi="宋体"/>
          <w:sz w:val="24"/>
          <w:szCs w:val="24"/>
        </w:rPr>
        <w:t>校企合作、工学结合的人才培养模式</w:t>
      </w:r>
      <w:r>
        <w:rPr>
          <w:rFonts w:hint="eastAsia" w:ascii="宋体"/>
          <w:sz w:val="24"/>
          <w:szCs w:val="24"/>
        </w:rPr>
        <w:t>。</w:t>
      </w:r>
      <w:r>
        <w:rPr>
          <w:rFonts w:hint="eastAsia" w:ascii="宋体" w:hAnsi="宋体"/>
          <w:sz w:val="24"/>
          <w:szCs w:val="24"/>
        </w:rPr>
        <w:t>将工学结合贯穿学校职业教育教学全过程，把企业引进入学校，学生从入学开始就接受相应的动手和实践课程，并根据培养目标同步深化文化、技术和技能学习与训练，逐步实现就业需求和人才培养的有机衔接。</w:t>
      </w:r>
    </w:p>
    <w:p>
      <w:pPr>
        <w:spacing w:line="400" w:lineRule="exact"/>
        <w:ind w:firstLine="482" w:firstLineChars="200"/>
        <w:rPr>
          <w:rFonts w:ascii="宋体"/>
          <w:sz w:val="24"/>
          <w:szCs w:val="24"/>
        </w:rPr>
      </w:pPr>
      <w:r>
        <w:rPr>
          <w:rFonts w:hint="eastAsia" w:ascii="宋体"/>
          <w:b/>
          <w:sz w:val="24"/>
          <w:szCs w:val="24"/>
        </w:rPr>
        <w:t>主要</w:t>
      </w:r>
      <w:r>
        <w:rPr>
          <w:rFonts w:hint="eastAsia" w:ascii="宋体" w:hAnsi="宋体" w:cs="仿宋"/>
          <w:b/>
          <w:bCs/>
          <w:kern w:val="0"/>
          <w:sz w:val="24"/>
          <w:szCs w:val="24"/>
        </w:rPr>
        <w:t>问题：</w:t>
      </w:r>
      <w:r>
        <w:rPr>
          <w:rFonts w:hint="eastAsia" w:ascii="宋体" w:hAnsi="宋体"/>
          <w:b/>
          <w:bCs/>
          <w:sz w:val="24"/>
          <w:szCs w:val="24"/>
        </w:rPr>
        <w:t>（7）教师掌握数字化、信息化进程</w:t>
      </w:r>
      <w:bookmarkEnd w:id="1"/>
      <w:bookmarkEnd w:id="2"/>
      <w:r>
        <w:rPr>
          <w:rFonts w:hint="eastAsia" w:ascii="宋体" w:hAnsi="宋体"/>
          <w:b/>
          <w:bCs/>
          <w:sz w:val="24"/>
          <w:szCs w:val="24"/>
        </w:rPr>
        <w:t>偏慢。</w:t>
      </w:r>
    </w:p>
    <w:p>
      <w:pPr>
        <w:spacing w:line="400" w:lineRule="exact"/>
        <w:ind w:firstLine="482" w:firstLineChars="200"/>
        <w:rPr>
          <w:rFonts w:ascii="宋体"/>
          <w:sz w:val="24"/>
          <w:szCs w:val="24"/>
        </w:rPr>
      </w:pPr>
      <w:r>
        <w:rPr>
          <w:rFonts w:hint="eastAsia" w:ascii="宋体" w:hAnsi="宋体"/>
          <w:b/>
          <w:sz w:val="24"/>
          <w:szCs w:val="24"/>
        </w:rPr>
        <w:t>具体措施：</w:t>
      </w:r>
      <w:r>
        <w:rPr>
          <w:rFonts w:hint="eastAsia" w:ascii="宋体" w:hAnsi="宋体"/>
          <w:sz w:val="24"/>
          <w:szCs w:val="24"/>
        </w:rPr>
        <w:t>加快数字化专业课程体系建设，加紧用信息技术改造学校专业课程，使每一个学生都具有与职业要求相适应的信息技术素养。与各行业、产业信息化进程紧密结合，将信息技术课程纳入所有专业。在专业课程中广泛使用计算机仿真教学、数字化实训、远程实时教育等技术。加强对教师信息技术应用能力的培训，将其作为教师评聘考核的重要标准。积极参加各层次职业院校信息化教学大赛。</w:t>
      </w:r>
    </w:p>
    <w:p>
      <w:pPr>
        <w:spacing w:line="400" w:lineRule="exact"/>
        <w:ind w:left="479" w:leftChars="228"/>
        <w:rPr>
          <w:rFonts w:ascii="宋体"/>
          <w:sz w:val="24"/>
          <w:szCs w:val="24"/>
        </w:rPr>
      </w:pPr>
      <w:r>
        <w:rPr>
          <w:rFonts w:hint="eastAsia" w:ascii="宋体" w:hAnsi="宋体"/>
          <w:sz w:val="24"/>
          <w:szCs w:val="24"/>
        </w:rPr>
        <w:t>上述矛盾有些是学校难以解决的，需要靠外力来缓解。</w:t>
      </w:r>
    </w:p>
    <w:p>
      <w:pPr>
        <w:spacing w:line="400" w:lineRule="exact"/>
        <w:rPr>
          <w:rFonts w:ascii="宋体"/>
          <w:sz w:val="24"/>
          <w:szCs w:val="24"/>
        </w:rPr>
      </w:pPr>
    </w:p>
    <w:sectPr>
      <w:footerReference r:id="rId8" w:type="default"/>
      <w:pgSz w:w="11906" w:h="16838"/>
      <w:pgMar w:top="1440" w:right="1466"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_GB2312">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58420" cy="278765"/>
              <wp:effectExtent l="0" t="0" r="0" b="0"/>
              <wp:wrapNone/>
              <wp:docPr id="34" name="文本框 1"/>
              <wp:cNvGraphicFramePr/>
              <a:graphic xmlns:a="http://schemas.openxmlformats.org/drawingml/2006/main">
                <a:graphicData uri="http://schemas.microsoft.com/office/word/2010/wordprocessingShape">
                  <wps:wsp>
                    <wps:cNvSpPr txBox="1"/>
                    <wps:spPr>
                      <a:xfrm>
                        <a:off x="0" y="0"/>
                        <a:ext cx="58420" cy="278765"/>
                      </a:xfrm>
                      <a:prstGeom prst="rect">
                        <a:avLst/>
                      </a:prstGeom>
                      <a:noFill/>
                      <a:ln>
                        <a:noFill/>
                      </a:ln>
                    </wps:spPr>
                    <wps:txbx>
                      <w:txbxContent>
                        <w:p>
                          <w:pPr>
                            <w:pStyle w:val="4"/>
                            <w:rPr>
                              <w:rFonts w:hint="eastAsia"/>
                            </w:rPr>
                          </w:pPr>
                          <w:r>
                            <w:fldChar w:fldCharType="begin"/>
                          </w:r>
                          <w:r>
                            <w:instrText xml:space="preserve"> PAGE  \* MERGEFORMAT </w:instrText>
                          </w:r>
                          <w:r>
                            <w:fldChar w:fldCharType="separate"/>
                          </w:r>
                          <w:r>
                            <w:t>25</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21.95pt;width:4.6pt;mso-position-horizontal:center;mso-position-horizontal-relative:margin;mso-wrap-style:none;z-index:1024;mso-width-relative:page;mso-height-relative:page;" filled="f" stroked="f" coordsize="21600,21600" o:gfxdata="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W+KA60QAAAAIBAAAPAAAAAAAAAAEAIAAAACIAAABkcnMvZG93&#10;bnJldi54bWxQSwECFAAUAAAACACHTuJARX2cqM4BAACXAwAADgAAAAAAAAABACAAAAAgAQAAZHJz&#10;L2Uyb0RvYy54bWxQSwUGAAAAAAYABgBZAQAAYAUAAAAA&#10;">
              <v:fill on="f" focussize="0,0"/>
              <v:stroke on="f"/>
              <v:imagedata o:title=""/>
              <o:lock v:ext="edit" aspectratio="f"/>
              <v:textbox inset="0mm,0mm,0mm,0mm" style="mso-fit-shape-to-text:t;">
                <w:txbxContent>
                  <w:p>
                    <w:pPr>
                      <w:pStyle w:val="4"/>
                      <w:rPr>
                        <w:rFonts w:hint="eastAsia"/>
                      </w:rPr>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vYfayQEAAJoDAAAOAAAAAAAAAAEAIAAAAB4BAABkcnMvZTJvRG9j&#10;LnhtbFBLBQYAAAAABgAGAFkBAABZBQAAAAA=&#10;">
              <v:fill on="f" focussize="0,0"/>
              <v:stroke on="f"/>
              <v:imagedata o:title=""/>
              <o:lock v:ext="edit" aspectratio="f"/>
              <v:textbox inset="0mm,0mm,0mm,0mm" style="mso-fit-shape-to-text:t;">
                <w:txbxContent>
                  <w:p>
                    <w:pPr>
                      <w:pStyle w:val="4"/>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2</w:t>
                    </w:r>
                    <w:r>
                      <w:rPr>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B0"/>
    <w:rsid w:val="00003FD4"/>
    <w:rsid w:val="00010A6B"/>
    <w:rsid w:val="00011C9C"/>
    <w:rsid w:val="000120AD"/>
    <w:rsid w:val="0002004E"/>
    <w:rsid w:val="00024F14"/>
    <w:rsid w:val="000258CB"/>
    <w:rsid w:val="000332DB"/>
    <w:rsid w:val="00042A56"/>
    <w:rsid w:val="0005133D"/>
    <w:rsid w:val="000525EF"/>
    <w:rsid w:val="000528F9"/>
    <w:rsid w:val="0005355E"/>
    <w:rsid w:val="000552D1"/>
    <w:rsid w:val="00055D8D"/>
    <w:rsid w:val="00062794"/>
    <w:rsid w:val="00070666"/>
    <w:rsid w:val="000706A6"/>
    <w:rsid w:val="000745F0"/>
    <w:rsid w:val="00076573"/>
    <w:rsid w:val="00082F32"/>
    <w:rsid w:val="00087239"/>
    <w:rsid w:val="00090B8B"/>
    <w:rsid w:val="000929DF"/>
    <w:rsid w:val="000A024A"/>
    <w:rsid w:val="000A1A3B"/>
    <w:rsid w:val="000A4B13"/>
    <w:rsid w:val="000A5EF0"/>
    <w:rsid w:val="000B44F9"/>
    <w:rsid w:val="000B6522"/>
    <w:rsid w:val="000B6C35"/>
    <w:rsid w:val="000C02D3"/>
    <w:rsid w:val="000C1A25"/>
    <w:rsid w:val="000C2348"/>
    <w:rsid w:val="000C2B0F"/>
    <w:rsid w:val="000D0D86"/>
    <w:rsid w:val="000D28F5"/>
    <w:rsid w:val="000E0690"/>
    <w:rsid w:val="000E1563"/>
    <w:rsid w:val="000E4F21"/>
    <w:rsid w:val="000E7EEA"/>
    <w:rsid w:val="0010466F"/>
    <w:rsid w:val="0011234B"/>
    <w:rsid w:val="001151ED"/>
    <w:rsid w:val="00121393"/>
    <w:rsid w:val="001230AB"/>
    <w:rsid w:val="00123B0E"/>
    <w:rsid w:val="00143062"/>
    <w:rsid w:val="001439BD"/>
    <w:rsid w:val="00144D64"/>
    <w:rsid w:val="00145187"/>
    <w:rsid w:val="00145896"/>
    <w:rsid w:val="00145D1E"/>
    <w:rsid w:val="00150B67"/>
    <w:rsid w:val="00150E7D"/>
    <w:rsid w:val="00150EC2"/>
    <w:rsid w:val="00151C95"/>
    <w:rsid w:val="00152FB6"/>
    <w:rsid w:val="001530A2"/>
    <w:rsid w:val="00155F91"/>
    <w:rsid w:val="001564D8"/>
    <w:rsid w:val="00161DA0"/>
    <w:rsid w:val="001653D4"/>
    <w:rsid w:val="001657F0"/>
    <w:rsid w:val="00165BFA"/>
    <w:rsid w:val="00165C4B"/>
    <w:rsid w:val="001678D8"/>
    <w:rsid w:val="00167D76"/>
    <w:rsid w:val="00167E97"/>
    <w:rsid w:val="0017275D"/>
    <w:rsid w:val="00175B77"/>
    <w:rsid w:val="00180FE5"/>
    <w:rsid w:val="001843AF"/>
    <w:rsid w:val="00185932"/>
    <w:rsid w:val="00185CD5"/>
    <w:rsid w:val="001933C4"/>
    <w:rsid w:val="001A011C"/>
    <w:rsid w:val="001A1441"/>
    <w:rsid w:val="001A4279"/>
    <w:rsid w:val="001A5337"/>
    <w:rsid w:val="001A5F16"/>
    <w:rsid w:val="001A70EC"/>
    <w:rsid w:val="001B0083"/>
    <w:rsid w:val="001B2A0C"/>
    <w:rsid w:val="001B50BF"/>
    <w:rsid w:val="001C0EAF"/>
    <w:rsid w:val="001C24F5"/>
    <w:rsid w:val="001C2CC5"/>
    <w:rsid w:val="001C3E12"/>
    <w:rsid w:val="001C5AA0"/>
    <w:rsid w:val="001C66D1"/>
    <w:rsid w:val="001D0BAB"/>
    <w:rsid w:val="001D3BA1"/>
    <w:rsid w:val="001D4D53"/>
    <w:rsid w:val="001D5A72"/>
    <w:rsid w:val="001E52F1"/>
    <w:rsid w:val="001E5E22"/>
    <w:rsid w:val="001E6DDD"/>
    <w:rsid w:val="001E7A16"/>
    <w:rsid w:val="001E7BB0"/>
    <w:rsid w:val="001F1F7E"/>
    <w:rsid w:val="001F2BA7"/>
    <w:rsid w:val="001F693E"/>
    <w:rsid w:val="00201FEA"/>
    <w:rsid w:val="002026BC"/>
    <w:rsid w:val="00203F78"/>
    <w:rsid w:val="00213962"/>
    <w:rsid w:val="00217466"/>
    <w:rsid w:val="00223710"/>
    <w:rsid w:val="00231D2E"/>
    <w:rsid w:val="00231EBC"/>
    <w:rsid w:val="0023576B"/>
    <w:rsid w:val="00235A35"/>
    <w:rsid w:val="00237D87"/>
    <w:rsid w:val="002404EB"/>
    <w:rsid w:val="00241DD3"/>
    <w:rsid w:val="00247152"/>
    <w:rsid w:val="00247EF9"/>
    <w:rsid w:val="002503AD"/>
    <w:rsid w:val="002504D7"/>
    <w:rsid w:val="00254901"/>
    <w:rsid w:val="00260FD0"/>
    <w:rsid w:val="00261996"/>
    <w:rsid w:val="00262DF9"/>
    <w:rsid w:val="00265BFC"/>
    <w:rsid w:val="00270B06"/>
    <w:rsid w:val="0027116B"/>
    <w:rsid w:val="00277118"/>
    <w:rsid w:val="00286CE4"/>
    <w:rsid w:val="00294171"/>
    <w:rsid w:val="002A3748"/>
    <w:rsid w:val="002A5045"/>
    <w:rsid w:val="002A676B"/>
    <w:rsid w:val="002B048A"/>
    <w:rsid w:val="002C3230"/>
    <w:rsid w:val="002C4774"/>
    <w:rsid w:val="002C498F"/>
    <w:rsid w:val="002D6BB2"/>
    <w:rsid w:val="002E3F98"/>
    <w:rsid w:val="002E70C8"/>
    <w:rsid w:val="002F043E"/>
    <w:rsid w:val="002F5A55"/>
    <w:rsid w:val="002F5DC0"/>
    <w:rsid w:val="00300322"/>
    <w:rsid w:val="003020EE"/>
    <w:rsid w:val="003032AC"/>
    <w:rsid w:val="00304B17"/>
    <w:rsid w:val="00307B89"/>
    <w:rsid w:val="00310120"/>
    <w:rsid w:val="003123CF"/>
    <w:rsid w:val="00314D59"/>
    <w:rsid w:val="00330A9C"/>
    <w:rsid w:val="00332559"/>
    <w:rsid w:val="00332C2E"/>
    <w:rsid w:val="00340BA0"/>
    <w:rsid w:val="00341D17"/>
    <w:rsid w:val="00345FC7"/>
    <w:rsid w:val="003461DD"/>
    <w:rsid w:val="0034753F"/>
    <w:rsid w:val="00352B21"/>
    <w:rsid w:val="0036018A"/>
    <w:rsid w:val="00360BFE"/>
    <w:rsid w:val="00363D7A"/>
    <w:rsid w:val="003826D8"/>
    <w:rsid w:val="00390A4F"/>
    <w:rsid w:val="00391070"/>
    <w:rsid w:val="003942D2"/>
    <w:rsid w:val="003947C7"/>
    <w:rsid w:val="00395268"/>
    <w:rsid w:val="003A5CA6"/>
    <w:rsid w:val="003A7E76"/>
    <w:rsid w:val="003B0B49"/>
    <w:rsid w:val="003B7142"/>
    <w:rsid w:val="003D01B0"/>
    <w:rsid w:val="003D219F"/>
    <w:rsid w:val="003D54CA"/>
    <w:rsid w:val="003E77B7"/>
    <w:rsid w:val="003F3D5F"/>
    <w:rsid w:val="004001E0"/>
    <w:rsid w:val="00401736"/>
    <w:rsid w:val="00402B3B"/>
    <w:rsid w:val="00402C42"/>
    <w:rsid w:val="004032DB"/>
    <w:rsid w:val="00403822"/>
    <w:rsid w:val="00404C5D"/>
    <w:rsid w:val="00406F51"/>
    <w:rsid w:val="00412BBD"/>
    <w:rsid w:val="004137A1"/>
    <w:rsid w:val="00416A72"/>
    <w:rsid w:val="0042075E"/>
    <w:rsid w:val="00421054"/>
    <w:rsid w:val="00432E39"/>
    <w:rsid w:val="00435242"/>
    <w:rsid w:val="004352BB"/>
    <w:rsid w:val="00436B0F"/>
    <w:rsid w:val="00437978"/>
    <w:rsid w:val="00440E9B"/>
    <w:rsid w:val="00442091"/>
    <w:rsid w:val="00442855"/>
    <w:rsid w:val="0044355A"/>
    <w:rsid w:val="0044574C"/>
    <w:rsid w:val="00445F34"/>
    <w:rsid w:val="0045135F"/>
    <w:rsid w:val="00457ED8"/>
    <w:rsid w:val="00462448"/>
    <w:rsid w:val="00463B98"/>
    <w:rsid w:val="00464B15"/>
    <w:rsid w:val="0047321E"/>
    <w:rsid w:val="004867DD"/>
    <w:rsid w:val="00493DD6"/>
    <w:rsid w:val="004966E0"/>
    <w:rsid w:val="004A5FC9"/>
    <w:rsid w:val="004B1CEE"/>
    <w:rsid w:val="004B246C"/>
    <w:rsid w:val="004B3E21"/>
    <w:rsid w:val="004B4F6B"/>
    <w:rsid w:val="004C6CAD"/>
    <w:rsid w:val="004C7BEF"/>
    <w:rsid w:val="004E41AC"/>
    <w:rsid w:val="004E4262"/>
    <w:rsid w:val="004F22DE"/>
    <w:rsid w:val="004F2A85"/>
    <w:rsid w:val="004F3502"/>
    <w:rsid w:val="004F42D0"/>
    <w:rsid w:val="004F7531"/>
    <w:rsid w:val="004F7E43"/>
    <w:rsid w:val="005043E6"/>
    <w:rsid w:val="00510FE9"/>
    <w:rsid w:val="00530716"/>
    <w:rsid w:val="00530790"/>
    <w:rsid w:val="0053710A"/>
    <w:rsid w:val="005401E1"/>
    <w:rsid w:val="005410B1"/>
    <w:rsid w:val="00542985"/>
    <w:rsid w:val="005429E7"/>
    <w:rsid w:val="005476AE"/>
    <w:rsid w:val="00552E93"/>
    <w:rsid w:val="005557F9"/>
    <w:rsid w:val="00561E98"/>
    <w:rsid w:val="00562259"/>
    <w:rsid w:val="0056361A"/>
    <w:rsid w:val="005734EE"/>
    <w:rsid w:val="00577ED4"/>
    <w:rsid w:val="00580337"/>
    <w:rsid w:val="005852D9"/>
    <w:rsid w:val="005857BE"/>
    <w:rsid w:val="0058771A"/>
    <w:rsid w:val="005A6912"/>
    <w:rsid w:val="005A69E3"/>
    <w:rsid w:val="005A7845"/>
    <w:rsid w:val="005B09AD"/>
    <w:rsid w:val="005B2112"/>
    <w:rsid w:val="005B28B6"/>
    <w:rsid w:val="005B327C"/>
    <w:rsid w:val="005B3A6F"/>
    <w:rsid w:val="005B40EA"/>
    <w:rsid w:val="005B677A"/>
    <w:rsid w:val="005C14E8"/>
    <w:rsid w:val="005C3334"/>
    <w:rsid w:val="005D2101"/>
    <w:rsid w:val="005D5CBF"/>
    <w:rsid w:val="005E4726"/>
    <w:rsid w:val="005F22F7"/>
    <w:rsid w:val="005F60CD"/>
    <w:rsid w:val="005F7C8F"/>
    <w:rsid w:val="005F7F99"/>
    <w:rsid w:val="00602D84"/>
    <w:rsid w:val="00606882"/>
    <w:rsid w:val="00607AF6"/>
    <w:rsid w:val="00610C6F"/>
    <w:rsid w:val="00616EBB"/>
    <w:rsid w:val="00623A0B"/>
    <w:rsid w:val="00623E48"/>
    <w:rsid w:val="006259FF"/>
    <w:rsid w:val="006302DC"/>
    <w:rsid w:val="006314A8"/>
    <w:rsid w:val="00631970"/>
    <w:rsid w:val="00631DB0"/>
    <w:rsid w:val="0063232F"/>
    <w:rsid w:val="00633AE1"/>
    <w:rsid w:val="006348D8"/>
    <w:rsid w:val="00637256"/>
    <w:rsid w:val="00637966"/>
    <w:rsid w:val="00641709"/>
    <w:rsid w:val="00642BB7"/>
    <w:rsid w:val="0064545C"/>
    <w:rsid w:val="00651C83"/>
    <w:rsid w:val="00652C5A"/>
    <w:rsid w:val="00656637"/>
    <w:rsid w:val="0066212A"/>
    <w:rsid w:val="00676BFE"/>
    <w:rsid w:val="00680B43"/>
    <w:rsid w:val="00681671"/>
    <w:rsid w:val="00681971"/>
    <w:rsid w:val="00686DC8"/>
    <w:rsid w:val="006878C1"/>
    <w:rsid w:val="00696255"/>
    <w:rsid w:val="006B3100"/>
    <w:rsid w:val="006B4679"/>
    <w:rsid w:val="006B52EC"/>
    <w:rsid w:val="006B58E8"/>
    <w:rsid w:val="006C3686"/>
    <w:rsid w:val="006C48A1"/>
    <w:rsid w:val="006D21CE"/>
    <w:rsid w:val="006D33D0"/>
    <w:rsid w:val="006D79EE"/>
    <w:rsid w:val="006F0EE5"/>
    <w:rsid w:val="006F3392"/>
    <w:rsid w:val="006F67A9"/>
    <w:rsid w:val="00702652"/>
    <w:rsid w:val="00705B97"/>
    <w:rsid w:val="00710A48"/>
    <w:rsid w:val="007114E7"/>
    <w:rsid w:val="00711C6B"/>
    <w:rsid w:val="00712550"/>
    <w:rsid w:val="00713B1F"/>
    <w:rsid w:val="00727249"/>
    <w:rsid w:val="0073003F"/>
    <w:rsid w:val="00730FD1"/>
    <w:rsid w:val="007347B2"/>
    <w:rsid w:val="007373C2"/>
    <w:rsid w:val="007376F7"/>
    <w:rsid w:val="0074110E"/>
    <w:rsid w:val="00741504"/>
    <w:rsid w:val="00743857"/>
    <w:rsid w:val="00746555"/>
    <w:rsid w:val="00750016"/>
    <w:rsid w:val="00760356"/>
    <w:rsid w:val="00762F0D"/>
    <w:rsid w:val="007718A0"/>
    <w:rsid w:val="007966C7"/>
    <w:rsid w:val="007A350F"/>
    <w:rsid w:val="007A4FA3"/>
    <w:rsid w:val="007A52E7"/>
    <w:rsid w:val="007A7DF0"/>
    <w:rsid w:val="007B12DA"/>
    <w:rsid w:val="007B4219"/>
    <w:rsid w:val="007B6818"/>
    <w:rsid w:val="007C4C23"/>
    <w:rsid w:val="007C4D9D"/>
    <w:rsid w:val="007C5342"/>
    <w:rsid w:val="007D4241"/>
    <w:rsid w:val="007E1A73"/>
    <w:rsid w:val="007F1F37"/>
    <w:rsid w:val="007F23A8"/>
    <w:rsid w:val="0081233C"/>
    <w:rsid w:val="00824A2D"/>
    <w:rsid w:val="008279E1"/>
    <w:rsid w:val="00831632"/>
    <w:rsid w:val="00832575"/>
    <w:rsid w:val="00835A2F"/>
    <w:rsid w:val="00836463"/>
    <w:rsid w:val="0084118A"/>
    <w:rsid w:val="0084179B"/>
    <w:rsid w:val="00850B31"/>
    <w:rsid w:val="00856BF1"/>
    <w:rsid w:val="008702F7"/>
    <w:rsid w:val="00870536"/>
    <w:rsid w:val="00871BBB"/>
    <w:rsid w:val="00876797"/>
    <w:rsid w:val="0087790C"/>
    <w:rsid w:val="008824A3"/>
    <w:rsid w:val="0088296C"/>
    <w:rsid w:val="00885A60"/>
    <w:rsid w:val="00897ABE"/>
    <w:rsid w:val="00897EE8"/>
    <w:rsid w:val="008A057D"/>
    <w:rsid w:val="008A1ED2"/>
    <w:rsid w:val="008A4501"/>
    <w:rsid w:val="008A6E5B"/>
    <w:rsid w:val="008B15C8"/>
    <w:rsid w:val="008B676A"/>
    <w:rsid w:val="008C1EC8"/>
    <w:rsid w:val="008C6F24"/>
    <w:rsid w:val="008C7731"/>
    <w:rsid w:val="008D0BA8"/>
    <w:rsid w:val="008D0F00"/>
    <w:rsid w:val="008D1128"/>
    <w:rsid w:val="008D4520"/>
    <w:rsid w:val="008E3746"/>
    <w:rsid w:val="008E3C67"/>
    <w:rsid w:val="008E40E2"/>
    <w:rsid w:val="008E4FB7"/>
    <w:rsid w:val="008F1E01"/>
    <w:rsid w:val="008F3FE9"/>
    <w:rsid w:val="008F4870"/>
    <w:rsid w:val="008F6EE8"/>
    <w:rsid w:val="00900AC1"/>
    <w:rsid w:val="00907357"/>
    <w:rsid w:val="00916D53"/>
    <w:rsid w:val="009233D8"/>
    <w:rsid w:val="00924264"/>
    <w:rsid w:val="00925B89"/>
    <w:rsid w:val="009345F2"/>
    <w:rsid w:val="00935BDF"/>
    <w:rsid w:val="009360C4"/>
    <w:rsid w:val="009369FE"/>
    <w:rsid w:val="00936BDC"/>
    <w:rsid w:val="0093716A"/>
    <w:rsid w:val="00940180"/>
    <w:rsid w:val="00940376"/>
    <w:rsid w:val="0095284E"/>
    <w:rsid w:val="00954324"/>
    <w:rsid w:val="00955A6B"/>
    <w:rsid w:val="009567A8"/>
    <w:rsid w:val="009567E5"/>
    <w:rsid w:val="009575B7"/>
    <w:rsid w:val="00962519"/>
    <w:rsid w:val="00963120"/>
    <w:rsid w:val="0096593E"/>
    <w:rsid w:val="0096785B"/>
    <w:rsid w:val="00970512"/>
    <w:rsid w:val="00971042"/>
    <w:rsid w:val="009711C9"/>
    <w:rsid w:val="00977FF1"/>
    <w:rsid w:val="0098045A"/>
    <w:rsid w:val="00980C8D"/>
    <w:rsid w:val="0098245C"/>
    <w:rsid w:val="009825F1"/>
    <w:rsid w:val="00983BD8"/>
    <w:rsid w:val="00987DB3"/>
    <w:rsid w:val="009905A7"/>
    <w:rsid w:val="00990644"/>
    <w:rsid w:val="00994DE9"/>
    <w:rsid w:val="009A03CB"/>
    <w:rsid w:val="009A2AB3"/>
    <w:rsid w:val="009A570D"/>
    <w:rsid w:val="009A6FAD"/>
    <w:rsid w:val="009B012F"/>
    <w:rsid w:val="009B0FD3"/>
    <w:rsid w:val="009C260F"/>
    <w:rsid w:val="009C3FF7"/>
    <w:rsid w:val="009D012A"/>
    <w:rsid w:val="009D0999"/>
    <w:rsid w:val="009D3654"/>
    <w:rsid w:val="009D5354"/>
    <w:rsid w:val="009D7C48"/>
    <w:rsid w:val="009E7831"/>
    <w:rsid w:val="009F1184"/>
    <w:rsid w:val="00A02DFD"/>
    <w:rsid w:val="00A0682A"/>
    <w:rsid w:val="00A1450F"/>
    <w:rsid w:val="00A2016F"/>
    <w:rsid w:val="00A23120"/>
    <w:rsid w:val="00A24E54"/>
    <w:rsid w:val="00A26ABF"/>
    <w:rsid w:val="00A27128"/>
    <w:rsid w:val="00A30F03"/>
    <w:rsid w:val="00A31CD6"/>
    <w:rsid w:val="00A32DE6"/>
    <w:rsid w:val="00A37AE8"/>
    <w:rsid w:val="00A45293"/>
    <w:rsid w:val="00A60BF2"/>
    <w:rsid w:val="00A712D7"/>
    <w:rsid w:val="00A72B00"/>
    <w:rsid w:val="00A76862"/>
    <w:rsid w:val="00A7797C"/>
    <w:rsid w:val="00A803EC"/>
    <w:rsid w:val="00A8131F"/>
    <w:rsid w:val="00A81D2D"/>
    <w:rsid w:val="00A81D81"/>
    <w:rsid w:val="00A83ED2"/>
    <w:rsid w:val="00A87076"/>
    <w:rsid w:val="00A87777"/>
    <w:rsid w:val="00A92D87"/>
    <w:rsid w:val="00A946D1"/>
    <w:rsid w:val="00A952DB"/>
    <w:rsid w:val="00AB043F"/>
    <w:rsid w:val="00AB0550"/>
    <w:rsid w:val="00AB51E4"/>
    <w:rsid w:val="00AC155A"/>
    <w:rsid w:val="00AC4DE2"/>
    <w:rsid w:val="00AC5C4F"/>
    <w:rsid w:val="00AC6F0F"/>
    <w:rsid w:val="00AD190B"/>
    <w:rsid w:val="00AE5B4F"/>
    <w:rsid w:val="00AF001C"/>
    <w:rsid w:val="00AF2FB9"/>
    <w:rsid w:val="00AF4AB3"/>
    <w:rsid w:val="00AF55E2"/>
    <w:rsid w:val="00B1507F"/>
    <w:rsid w:val="00B16882"/>
    <w:rsid w:val="00B17E12"/>
    <w:rsid w:val="00B21FA2"/>
    <w:rsid w:val="00B31208"/>
    <w:rsid w:val="00B32C5D"/>
    <w:rsid w:val="00B42C70"/>
    <w:rsid w:val="00B45652"/>
    <w:rsid w:val="00B47919"/>
    <w:rsid w:val="00B47FB2"/>
    <w:rsid w:val="00B51E87"/>
    <w:rsid w:val="00B5539C"/>
    <w:rsid w:val="00B64CF1"/>
    <w:rsid w:val="00B720D1"/>
    <w:rsid w:val="00B81C01"/>
    <w:rsid w:val="00B91570"/>
    <w:rsid w:val="00B955A1"/>
    <w:rsid w:val="00B95A20"/>
    <w:rsid w:val="00B96680"/>
    <w:rsid w:val="00BA319B"/>
    <w:rsid w:val="00BA4F0D"/>
    <w:rsid w:val="00BB257B"/>
    <w:rsid w:val="00BB2DB6"/>
    <w:rsid w:val="00BB5963"/>
    <w:rsid w:val="00BB6724"/>
    <w:rsid w:val="00BB705C"/>
    <w:rsid w:val="00BC6BD7"/>
    <w:rsid w:val="00BD0372"/>
    <w:rsid w:val="00BD4DB5"/>
    <w:rsid w:val="00BF1030"/>
    <w:rsid w:val="00BF27D8"/>
    <w:rsid w:val="00BF597E"/>
    <w:rsid w:val="00BF5F1F"/>
    <w:rsid w:val="00C06D85"/>
    <w:rsid w:val="00C15E6B"/>
    <w:rsid w:val="00C16BDF"/>
    <w:rsid w:val="00C200DD"/>
    <w:rsid w:val="00C23C17"/>
    <w:rsid w:val="00C23FF0"/>
    <w:rsid w:val="00C24040"/>
    <w:rsid w:val="00C24599"/>
    <w:rsid w:val="00C40680"/>
    <w:rsid w:val="00C43169"/>
    <w:rsid w:val="00C50CDE"/>
    <w:rsid w:val="00C51FCB"/>
    <w:rsid w:val="00C52091"/>
    <w:rsid w:val="00C5287A"/>
    <w:rsid w:val="00C52C21"/>
    <w:rsid w:val="00C531EF"/>
    <w:rsid w:val="00C55E22"/>
    <w:rsid w:val="00C570C4"/>
    <w:rsid w:val="00C606EC"/>
    <w:rsid w:val="00C630AD"/>
    <w:rsid w:val="00C65E7B"/>
    <w:rsid w:val="00C71264"/>
    <w:rsid w:val="00C731B0"/>
    <w:rsid w:val="00C74822"/>
    <w:rsid w:val="00C7494F"/>
    <w:rsid w:val="00C76A33"/>
    <w:rsid w:val="00C7785B"/>
    <w:rsid w:val="00C83708"/>
    <w:rsid w:val="00C87525"/>
    <w:rsid w:val="00C926EB"/>
    <w:rsid w:val="00C92ACD"/>
    <w:rsid w:val="00CA6669"/>
    <w:rsid w:val="00CB1C67"/>
    <w:rsid w:val="00CB32AD"/>
    <w:rsid w:val="00CB3A98"/>
    <w:rsid w:val="00CC55FA"/>
    <w:rsid w:val="00CC5EFF"/>
    <w:rsid w:val="00CD03CC"/>
    <w:rsid w:val="00CD3D11"/>
    <w:rsid w:val="00CD7A84"/>
    <w:rsid w:val="00CE42C0"/>
    <w:rsid w:val="00CE59F9"/>
    <w:rsid w:val="00CE70CA"/>
    <w:rsid w:val="00CE79DF"/>
    <w:rsid w:val="00D030B9"/>
    <w:rsid w:val="00D0416D"/>
    <w:rsid w:val="00D1033A"/>
    <w:rsid w:val="00D11D1B"/>
    <w:rsid w:val="00D14E68"/>
    <w:rsid w:val="00D205FB"/>
    <w:rsid w:val="00D3131B"/>
    <w:rsid w:val="00D32683"/>
    <w:rsid w:val="00D33798"/>
    <w:rsid w:val="00D40CF8"/>
    <w:rsid w:val="00D41061"/>
    <w:rsid w:val="00D42132"/>
    <w:rsid w:val="00D43F47"/>
    <w:rsid w:val="00D47063"/>
    <w:rsid w:val="00D47A33"/>
    <w:rsid w:val="00D51DE9"/>
    <w:rsid w:val="00D55158"/>
    <w:rsid w:val="00D56083"/>
    <w:rsid w:val="00D56265"/>
    <w:rsid w:val="00D57083"/>
    <w:rsid w:val="00D57F0D"/>
    <w:rsid w:val="00D61245"/>
    <w:rsid w:val="00D62A80"/>
    <w:rsid w:val="00D642AC"/>
    <w:rsid w:val="00D64961"/>
    <w:rsid w:val="00D7020F"/>
    <w:rsid w:val="00D7134F"/>
    <w:rsid w:val="00D7728C"/>
    <w:rsid w:val="00D815A3"/>
    <w:rsid w:val="00D81BFC"/>
    <w:rsid w:val="00D87147"/>
    <w:rsid w:val="00D92075"/>
    <w:rsid w:val="00D92C47"/>
    <w:rsid w:val="00D9386A"/>
    <w:rsid w:val="00D95577"/>
    <w:rsid w:val="00DA0B8F"/>
    <w:rsid w:val="00DA1582"/>
    <w:rsid w:val="00DA2425"/>
    <w:rsid w:val="00DA3F47"/>
    <w:rsid w:val="00DA6321"/>
    <w:rsid w:val="00DB325A"/>
    <w:rsid w:val="00DB68B9"/>
    <w:rsid w:val="00DC0E61"/>
    <w:rsid w:val="00DC10CB"/>
    <w:rsid w:val="00DC4062"/>
    <w:rsid w:val="00DC53ED"/>
    <w:rsid w:val="00DC70D2"/>
    <w:rsid w:val="00DD3713"/>
    <w:rsid w:val="00DD49D1"/>
    <w:rsid w:val="00DE2020"/>
    <w:rsid w:val="00DE743E"/>
    <w:rsid w:val="00DE7656"/>
    <w:rsid w:val="00DF06E1"/>
    <w:rsid w:val="00E1020C"/>
    <w:rsid w:val="00E10A27"/>
    <w:rsid w:val="00E11875"/>
    <w:rsid w:val="00E1407F"/>
    <w:rsid w:val="00E16FCE"/>
    <w:rsid w:val="00E269E4"/>
    <w:rsid w:val="00E31000"/>
    <w:rsid w:val="00E3353F"/>
    <w:rsid w:val="00E37587"/>
    <w:rsid w:val="00E4299D"/>
    <w:rsid w:val="00E42D2B"/>
    <w:rsid w:val="00E43129"/>
    <w:rsid w:val="00E505B1"/>
    <w:rsid w:val="00E51055"/>
    <w:rsid w:val="00E6248E"/>
    <w:rsid w:val="00E66855"/>
    <w:rsid w:val="00E671A8"/>
    <w:rsid w:val="00E7107D"/>
    <w:rsid w:val="00E72AD4"/>
    <w:rsid w:val="00E77EC0"/>
    <w:rsid w:val="00E817B6"/>
    <w:rsid w:val="00E83BD4"/>
    <w:rsid w:val="00E925DB"/>
    <w:rsid w:val="00E965FA"/>
    <w:rsid w:val="00EA16A8"/>
    <w:rsid w:val="00EA3C5C"/>
    <w:rsid w:val="00EA4796"/>
    <w:rsid w:val="00EB0DB1"/>
    <w:rsid w:val="00EC3832"/>
    <w:rsid w:val="00EC4430"/>
    <w:rsid w:val="00EC595A"/>
    <w:rsid w:val="00EC643C"/>
    <w:rsid w:val="00EC6C2F"/>
    <w:rsid w:val="00ED258E"/>
    <w:rsid w:val="00ED3D7C"/>
    <w:rsid w:val="00ED4BB6"/>
    <w:rsid w:val="00ED626B"/>
    <w:rsid w:val="00EE4ABC"/>
    <w:rsid w:val="00EE7119"/>
    <w:rsid w:val="00EF3F08"/>
    <w:rsid w:val="00EF423B"/>
    <w:rsid w:val="00EF74EB"/>
    <w:rsid w:val="00F06036"/>
    <w:rsid w:val="00F07808"/>
    <w:rsid w:val="00F07E1A"/>
    <w:rsid w:val="00F149F2"/>
    <w:rsid w:val="00F20AC0"/>
    <w:rsid w:val="00F2341B"/>
    <w:rsid w:val="00F3010F"/>
    <w:rsid w:val="00F31A27"/>
    <w:rsid w:val="00F55EAD"/>
    <w:rsid w:val="00F561DD"/>
    <w:rsid w:val="00F577A2"/>
    <w:rsid w:val="00F63658"/>
    <w:rsid w:val="00F6458B"/>
    <w:rsid w:val="00F72E1C"/>
    <w:rsid w:val="00F731ED"/>
    <w:rsid w:val="00F7334F"/>
    <w:rsid w:val="00F75E75"/>
    <w:rsid w:val="00F7737B"/>
    <w:rsid w:val="00F77B2D"/>
    <w:rsid w:val="00F85DE7"/>
    <w:rsid w:val="00F93C00"/>
    <w:rsid w:val="00F93F74"/>
    <w:rsid w:val="00F9583F"/>
    <w:rsid w:val="00FA0868"/>
    <w:rsid w:val="00FA2259"/>
    <w:rsid w:val="00FB10A9"/>
    <w:rsid w:val="00FB67E7"/>
    <w:rsid w:val="00FC1A36"/>
    <w:rsid w:val="00FC20C1"/>
    <w:rsid w:val="00FD1C01"/>
    <w:rsid w:val="00FD3E58"/>
    <w:rsid w:val="00FD605A"/>
    <w:rsid w:val="00FD79C6"/>
    <w:rsid w:val="00FE2190"/>
    <w:rsid w:val="00FE4A51"/>
    <w:rsid w:val="00FE7325"/>
    <w:rsid w:val="00FF5CA0"/>
    <w:rsid w:val="00FF7629"/>
    <w:rsid w:val="06385BCB"/>
    <w:rsid w:val="134F30A2"/>
    <w:rsid w:val="170F3E07"/>
    <w:rsid w:val="17844E18"/>
    <w:rsid w:val="213151AC"/>
    <w:rsid w:val="2D3F4744"/>
    <w:rsid w:val="2EB17CB5"/>
    <w:rsid w:val="3C3766CC"/>
    <w:rsid w:val="3E027DBC"/>
    <w:rsid w:val="729439E9"/>
    <w:rsid w:val="76BB593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nhideWhenUsed="0" w:uiPriority="99" w:semiHidden="0" w:name="header"/>
    <w:lsdException w:qFormat="1" w:unhideWhenUsed="0" w:uiPriority="0"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
    <w:qFormat/>
    <w:uiPriority w:val="99"/>
    <w:rPr>
      <w:rFonts w:ascii="宋体" w:hAnsi="Courier New"/>
      <w:kern w:val="0"/>
      <w:sz w:val="20"/>
    </w:rPr>
  </w:style>
  <w:style w:type="paragraph" w:styleId="3">
    <w:name w:val="Balloon Text"/>
    <w:basedOn w:val="1"/>
    <w:link w:val="12"/>
    <w:semiHidden/>
    <w:qFormat/>
    <w:uiPriority w:val="99"/>
    <w:rPr>
      <w:sz w:val="18"/>
      <w:szCs w:val="18"/>
    </w:rPr>
  </w:style>
  <w:style w:type="paragraph" w:styleId="4">
    <w:name w:val="footer"/>
    <w:basedOn w:val="1"/>
    <w:link w:val="13"/>
    <w:qFormat/>
    <w:uiPriority w:val="0"/>
    <w:pPr>
      <w:tabs>
        <w:tab w:val="center" w:pos="4153"/>
        <w:tab w:val="right" w:pos="8306"/>
      </w:tabs>
      <w:snapToGrid w:val="0"/>
      <w:jc w:val="left"/>
    </w:pPr>
    <w:rPr>
      <w:rFonts w:ascii="Calibri" w:hAnsi="Calibri"/>
      <w:sz w:val="18"/>
      <w:szCs w:val="20"/>
    </w:rPr>
  </w:style>
  <w:style w:type="paragraph" w:styleId="5">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jc w:val="left"/>
    </w:pPr>
    <w:rPr>
      <w:rFonts w:ascii="宋体" w:hAnsi="宋体" w:cs="宋体"/>
      <w:kern w:val="0"/>
      <w:sz w:val="24"/>
      <w:szCs w:val="24"/>
    </w:rPr>
  </w:style>
  <w:style w:type="character" w:styleId="9">
    <w:name w:val="page number"/>
    <w:basedOn w:val="8"/>
    <w:uiPriority w:val="99"/>
    <w:rPr>
      <w:rFonts w:cs="Times New Roman"/>
    </w:rPr>
  </w:style>
  <w:style w:type="character" w:styleId="10">
    <w:name w:val="Hyperlink"/>
    <w:basedOn w:val="8"/>
    <w:qFormat/>
    <w:uiPriority w:val="99"/>
    <w:rPr>
      <w:rFonts w:cs="Times New Roman"/>
      <w:color w:val="0000FF"/>
      <w:u w:val="single"/>
    </w:rPr>
  </w:style>
  <w:style w:type="character" w:customStyle="1" w:styleId="11">
    <w:name w:val="纯文本 Char"/>
    <w:basedOn w:val="8"/>
    <w:link w:val="2"/>
    <w:locked/>
    <w:uiPriority w:val="99"/>
    <w:rPr>
      <w:rFonts w:ascii="宋体" w:hAnsi="Courier New" w:eastAsia="宋体" w:cs="Times New Roman"/>
      <w:kern w:val="0"/>
      <w:sz w:val="21"/>
      <w:szCs w:val="21"/>
    </w:rPr>
  </w:style>
  <w:style w:type="character" w:customStyle="1" w:styleId="12">
    <w:name w:val="批注框文本 Char"/>
    <w:basedOn w:val="8"/>
    <w:link w:val="3"/>
    <w:semiHidden/>
    <w:qFormat/>
    <w:locked/>
    <w:uiPriority w:val="99"/>
    <w:rPr>
      <w:rFonts w:ascii="Times New Roman" w:hAnsi="Times New Roman" w:eastAsia="宋体" w:cs="Times New Roman"/>
      <w:sz w:val="18"/>
      <w:szCs w:val="18"/>
    </w:rPr>
  </w:style>
  <w:style w:type="character" w:customStyle="1" w:styleId="13">
    <w:name w:val="页脚 Char"/>
    <w:basedOn w:val="8"/>
    <w:link w:val="4"/>
    <w:semiHidden/>
    <w:qFormat/>
    <w:locked/>
    <w:uiPriority w:val="99"/>
    <w:rPr>
      <w:rFonts w:ascii="Times New Roman" w:hAnsi="Times New Roman" w:cs="Times New Roman"/>
      <w:sz w:val="18"/>
      <w:szCs w:val="18"/>
    </w:rPr>
  </w:style>
  <w:style w:type="character" w:customStyle="1" w:styleId="14">
    <w:name w:val="页眉 Char"/>
    <w:basedOn w:val="8"/>
    <w:link w:val="5"/>
    <w:semiHidden/>
    <w:qFormat/>
    <w:locked/>
    <w:uiPriority w:val="99"/>
    <w:rPr>
      <w:rFonts w:ascii="Times New Roman" w:hAnsi="Times New Roman" w:cs="Times New Roman"/>
      <w:sz w:val="18"/>
      <w:szCs w:val="18"/>
    </w:rPr>
  </w:style>
  <w:style w:type="character" w:customStyle="1" w:styleId="15">
    <w:name w:val="不明显参考1"/>
    <w:basedOn w:val="8"/>
    <w:uiPriority w:val="99"/>
    <w:rPr>
      <w:rFonts w:cs="Times New Roman"/>
      <w:smallCaps/>
      <w:color w:val="B2B2B2"/>
      <w:u w:val="single"/>
    </w:rPr>
  </w:style>
  <w:style w:type="paragraph" w:customStyle="1" w:styleId="16">
    <w:name w:val="List Paragraph1"/>
    <w:basedOn w:val="1"/>
    <w:qFormat/>
    <w:uiPriority w:val="99"/>
    <w:pPr>
      <w:ind w:firstLine="420" w:firstLineChars="200"/>
    </w:pPr>
    <w:rPr>
      <w:szCs w:val="24"/>
    </w:rPr>
  </w:style>
  <w:style w:type="character" w:customStyle="1" w:styleId="17">
    <w:name w:val="Footer Char1"/>
    <w:locked/>
    <w:uiPriority w:val="99"/>
    <w:rPr>
      <w:kern w:val="2"/>
      <w:sz w:val="18"/>
    </w:rPr>
  </w:style>
  <w:style w:type="character" w:customStyle="1" w:styleId="18">
    <w:name w:val="15"/>
    <w:basedOn w:val="8"/>
    <w:qFormat/>
    <w:uiPriority w:val="0"/>
    <w:rPr>
      <w:rFonts w:hint="default" w:ascii="Calibri" w:hAnsi="Calibri"/>
      <w:color w:val="0000FF"/>
      <w:u w:val="single"/>
    </w:rPr>
  </w:style>
  <w:style w:type="paragraph" w:customStyle="1" w:styleId="19">
    <w:name w:val="0"/>
    <w:basedOn w:val="1"/>
    <w:qFormat/>
    <w:uiPriority w:val="0"/>
    <w:pPr>
      <w:widowControl/>
      <w:snapToGrid w:val="0"/>
      <w:spacing w:line="408" w:lineRule="auto"/>
      <w:ind w:left="1"/>
      <w:textAlignment w:val="bottom"/>
    </w:pPr>
    <w:rPr>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1D6A7D-B4E0-4441-933A-E7082F03AFF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30</Pages>
  <Words>3372</Words>
  <Characters>19227</Characters>
  <Lines>160</Lines>
  <Paragraphs>45</Paragraphs>
  <TotalTime>8</TotalTime>
  <ScaleCrop>false</ScaleCrop>
  <LinksUpToDate>false</LinksUpToDate>
  <CharactersWithSpaces>22554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2017-11-09T19:24:00Z</dcterms:created>
  <dc:creator>微软用户</dc:creator>
  <cp:lastModifiedBy>00</cp:lastModifiedBy>
  <cp:lastPrinted>2020-01-08T00:36:00Z</cp:lastPrinted>
  <dcterms:modified xsi:type="dcterms:W3CDTF">2021-01-12T00:25:49Z</dcterms:modified>
  <cp:revision>459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